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D14E" w14:textId="77777777" w:rsidR="002C6666" w:rsidRPr="007E6687" w:rsidRDefault="002C6666" w:rsidP="007E6687">
      <w:pPr>
        <w:pStyle w:val="Bezmezer"/>
        <w:spacing w:line="276" w:lineRule="auto"/>
        <w:jc w:val="center"/>
        <w:rPr>
          <w:rFonts w:ascii="Garamond" w:hAnsi="Garamond"/>
          <w:b/>
          <w:bCs/>
          <w:sz w:val="26"/>
          <w:szCs w:val="26"/>
        </w:rPr>
      </w:pPr>
    </w:p>
    <w:p w14:paraId="7ECF0D54" w14:textId="7D4EAB48" w:rsidR="00E73E68" w:rsidRPr="00FC0C0E" w:rsidRDefault="002C6666" w:rsidP="007E6687">
      <w:pPr>
        <w:pStyle w:val="Bezmezer"/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FC0C0E">
        <w:rPr>
          <w:rFonts w:ascii="Garamond" w:hAnsi="Garamond"/>
          <w:b/>
          <w:bCs/>
          <w:sz w:val="32"/>
          <w:szCs w:val="32"/>
        </w:rPr>
        <w:t>Smlouva o poskytování právních služeb</w:t>
      </w:r>
    </w:p>
    <w:p w14:paraId="1FFCD4CD" w14:textId="77777777" w:rsidR="007E6687" w:rsidRPr="007E6687" w:rsidRDefault="007E6687" w:rsidP="007E6687">
      <w:pPr>
        <w:spacing w:after="0"/>
        <w:jc w:val="center"/>
        <w:rPr>
          <w:rFonts w:ascii="Garamond" w:hAnsi="Garamond"/>
          <w:i/>
          <w:sz w:val="26"/>
          <w:szCs w:val="26"/>
        </w:rPr>
      </w:pPr>
    </w:p>
    <w:p w14:paraId="683F3BB6" w14:textId="0745E8B3" w:rsidR="00E73E68" w:rsidRPr="007E6687" w:rsidRDefault="00102525" w:rsidP="007E6687">
      <w:pPr>
        <w:spacing w:after="0"/>
        <w:jc w:val="center"/>
        <w:rPr>
          <w:rFonts w:ascii="Garamond" w:hAnsi="Garamond"/>
          <w:i/>
          <w:sz w:val="26"/>
          <w:szCs w:val="26"/>
        </w:rPr>
      </w:pPr>
      <w:r w:rsidRPr="007E6687">
        <w:rPr>
          <w:rFonts w:ascii="Garamond" w:hAnsi="Garamond"/>
          <w:i/>
          <w:sz w:val="26"/>
          <w:szCs w:val="26"/>
        </w:rPr>
        <w:t xml:space="preserve">(dále jen „Smlouva“) </w:t>
      </w:r>
      <w:r w:rsidR="00E73E68" w:rsidRPr="007E6687">
        <w:rPr>
          <w:rFonts w:ascii="Garamond" w:hAnsi="Garamond"/>
          <w:i/>
          <w:sz w:val="26"/>
          <w:szCs w:val="26"/>
        </w:rPr>
        <w:t>uzavřená níže uvedeného dne, měsíce a roku mezi:</w:t>
      </w:r>
    </w:p>
    <w:p w14:paraId="5CE29A0B" w14:textId="77777777" w:rsidR="00E73E68" w:rsidRPr="007E6687" w:rsidRDefault="00E73E68" w:rsidP="007E6687">
      <w:pPr>
        <w:tabs>
          <w:tab w:val="left" w:pos="993"/>
          <w:tab w:val="left" w:pos="1080"/>
          <w:tab w:val="left" w:pos="1620"/>
        </w:tabs>
        <w:spacing w:after="0"/>
        <w:jc w:val="both"/>
        <w:rPr>
          <w:rFonts w:ascii="Garamond" w:hAnsi="Garamond"/>
          <w:bCs/>
          <w:i/>
          <w:color w:val="000000" w:themeColor="text1"/>
          <w:sz w:val="26"/>
          <w:szCs w:val="26"/>
        </w:rPr>
      </w:pPr>
    </w:p>
    <w:p w14:paraId="13574EA1" w14:textId="77777777" w:rsidR="00102525" w:rsidRPr="007E6687" w:rsidRDefault="00102525" w:rsidP="007E6687">
      <w:pPr>
        <w:spacing w:after="0"/>
        <w:jc w:val="both"/>
        <w:rPr>
          <w:rFonts w:ascii="Garamond" w:hAnsi="Garamond"/>
          <w:color w:val="000000" w:themeColor="text1"/>
          <w:sz w:val="26"/>
          <w:szCs w:val="26"/>
          <w:highlight w:val="yellow"/>
        </w:rPr>
      </w:pPr>
      <w:r w:rsidRPr="007E6687">
        <w:rPr>
          <w:rFonts w:ascii="Garamond" w:hAnsi="Garamond"/>
          <w:color w:val="000000" w:themeColor="text1"/>
          <w:sz w:val="26"/>
          <w:szCs w:val="26"/>
          <w:highlight w:val="yellow"/>
        </w:rPr>
        <w:t>…………………</w:t>
      </w:r>
    </w:p>
    <w:p w14:paraId="1770326F" w14:textId="77777777" w:rsidR="00102525" w:rsidRPr="007E6687" w:rsidRDefault="00102525" w:rsidP="007E6687">
      <w:pPr>
        <w:spacing w:after="0"/>
        <w:jc w:val="both"/>
        <w:rPr>
          <w:rFonts w:ascii="Garamond" w:hAnsi="Garamond"/>
          <w:color w:val="000000" w:themeColor="text1"/>
          <w:sz w:val="26"/>
          <w:szCs w:val="26"/>
          <w:highlight w:val="yellow"/>
        </w:rPr>
      </w:pPr>
      <w:r w:rsidRPr="007E6687">
        <w:rPr>
          <w:rFonts w:ascii="Garamond" w:hAnsi="Garamond"/>
          <w:color w:val="000000" w:themeColor="text1"/>
          <w:sz w:val="26"/>
          <w:szCs w:val="26"/>
          <w:highlight w:val="yellow"/>
        </w:rPr>
        <w:t>…………………</w:t>
      </w:r>
    </w:p>
    <w:p w14:paraId="7EAE753B" w14:textId="464B8BCA" w:rsidR="00E73E68" w:rsidRPr="007E6687" w:rsidRDefault="00102525" w:rsidP="007E6687">
      <w:pPr>
        <w:spacing w:after="0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7E6687">
        <w:rPr>
          <w:rFonts w:ascii="Garamond" w:hAnsi="Garamond"/>
          <w:color w:val="000000" w:themeColor="text1"/>
          <w:sz w:val="26"/>
          <w:szCs w:val="26"/>
          <w:highlight w:val="yellow"/>
        </w:rPr>
        <w:t>…………………</w:t>
      </w:r>
      <w:r w:rsidR="00E73E68" w:rsidRPr="007E6687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0B6B6C57" w14:textId="77777777" w:rsidR="00102525" w:rsidRPr="007E6687" w:rsidRDefault="00102525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05D4527F" w14:textId="2109BB1A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(dále jen „</w:t>
      </w:r>
      <w:r w:rsidR="00102525" w:rsidRPr="007E6687">
        <w:rPr>
          <w:rFonts w:ascii="Garamond" w:hAnsi="Garamond"/>
          <w:i/>
          <w:sz w:val="26"/>
          <w:szCs w:val="26"/>
        </w:rPr>
        <w:t>M</w:t>
      </w:r>
      <w:r w:rsidRPr="007E6687">
        <w:rPr>
          <w:rFonts w:ascii="Garamond" w:hAnsi="Garamond"/>
          <w:i/>
          <w:sz w:val="26"/>
          <w:szCs w:val="26"/>
        </w:rPr>
        <w:t>andant</w:t>
      </w:r>
      <w:r w:rsidRPr="007E6687">
        <w:rPr>
          <w:rFonts w:ascii="Garamond" w:hAnsi="Garamond"/>
          <w:sz w:val="26"/>
          <w:szCs w:val="26"/>
        </w:rPr>
        <w:t>“)</w:t>
      </w:r>
    </w:p>
    <w:p w14:paraId="3D6D8191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2D1070B1" w14:textId="77777777" w:rsidR="00E73E68" w:rsidRPr="007E6687" w:rsidRDefault="00E73E68" w:rsidP="007E6687">
      <w:pPr>
        <w:spacing w:after="0"/>
        <w:jc w:val="both"/>
        <w:rPr>
          <w:rFonts w:ascii="Garamond" w:hAnsi="Garamond"/>
          <w:i/>
          <w:sz w:val="26"/>
          <w:szCs w:val="26"/>
        </w:rPr>
      </w:pPr>
      <w:r w:rsidRPr="007E6687">
        <w:rPr>
          <w:rFonts w:ascii="Garamond" w:hAnsi="Garamond"/>
          <w:i/>
          <w:sz w:val="26"/>
          <w:szCs w:val="26"/>
        </w:rPr>
        <w:t>a</w:t>
      </w:r>
    </w:p>
    <w:p w14:paraId="6AC0080C" w14:textId="77777777" w:rsidR="00E73E68" w:rsidRPr="007E6687" w:rsidRDefault="00E73E68" w:rsidP="007E6687">
      <w:pPr>
        <w:spacing w:after="0"/>
        <w:jc w:val="both"/>
        <w:rPr>
          <w:rFonts w:ascii="Garamond" w:hAnsi="Garamond"/>
          <w:i/>
          <w:sz w:val="26"/>
          <w:szCs w:val="26"/>
        </w:rPr>
      </w:pPr>
    </w:p>
    <w:p w14:paraId="640194B7" w14:textId="77777777" w:rsidR="00E73E68" w:rsidRPr="007E6687" w:rsidRDefault="001A4DC2" w:rsidP="007E6687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>Mgr. Mar</w:t>
      </w:r>
      <w:r w:rsidR="00E73E68" w:rsidRPr="007E6687">
        <w:rPr>
          <w:rFonts w:ascii="Garamond" w:hAnsi="Garamond"/>
          <w:b/>
          <w:sz w:val="26"/>
          <w:szCs w:val="26"/>
        </w:rPr>
        <w:t>k</w:t>
      </w:r>
      <w:r w:rsidRPr="007E6687">
        <w:rPr>
          <w:rFonts w:ascii="Garamond" w:hAnsi="Garamond"/>
          <w:b/>
          <w:sz w:val="26"/>
          <w:szCs w:val="26"/>
        </w:rPr>
        <w:t>em Indrou</w:t>
      </w:r>
    </w:p>
    <w:p w14:paraId="2BB320F3" w14:textId="77777777" w:rsidR="00E73E68" w:rsidRPr="007E6687" w:rsidRDefault="00E73E68" w:rsidP="007E6687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>Mgr. Jiří</w:t>
      </w:r>
      <w:r w:rsidR="001A4DC2" w:rsidRPr="007E6687">
        <w:rPr>
          <w:rFonts w:ascii="Garamond" w:hAnsi="Garamond"/>
          <w:b/>
          <w:sz w:val="26"/>
          <w:szCs w:val="26"/>
        </w:rPr>
        <w:t>m</w:t>
      </w:r>
      <w:r w:rsidRPr="007E6687">
        <w:rPr>
          <w:rFonts w:ascii="Garamond" w:hAnsi="Garamond"/>
          <w:b/>
          <w:sz w:val="26"/>
          <w:szCs w:val="26"/>
        </w:rPr>
        <w:t xml:space="preserve"> </w:t>
      </w:r>
      <w:r w:rsidR="001A4DC2" w:rsidRPr="007E6687">
        <w:rPr>
          <w:rFonts w:ascii="Garamond" w:hAnsi="Garamond"/>
          <w:b/>
          <w:sz w:val="26"/>
          <w:szCs w:val="26"/>
        </w:rPr>
        <w:t>Šebestou</w:t>
      </w:r>
    </w:p>
    <w:p w14:paraId="1203D668" w14:textId="77777777" w:rsidR="00E73E68" w:rsidRPr="007E6687" w:rsidRDefault="00E73E68" w:rsidP="007E6687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>Mgr. Lubomír</w:t>
      </w:r>
      <w:r w:rsidR="001A4DC2" w:rsidRPr="007E6687">
        <w:rPr>
          <w:rFonts w:ascii="Garamond" w:hAnsi="Garamond"/>
          <w:b/>
          <w:sz w:val="26"/>
          <w:szCs w:val="26"/>
        </w:rPr>
        <w:t>em</w:t>
      </w:r>
      <w:r w:rsidRPr="007E6687">
        <w:rPr>
          <w:rFonts w:ascii="Garamond" w:hAnsi="Garamond"/>
          <w:b/>
          <w:sz w:val="26"/>
          <w:szCs w:val="26"/>
        </w:rPr>
        <w:t xml:space="preserve"> Kincl</w:t>
      </w:r>
      <w:r w:rsidR="001A4DC2" w:rsidRPr="007E6687">
        <w:rPr>
          <w:rFonts w:ascii="Garamond" w:hAnsi="Garamond"/>
          <w:b/>
          <w:sz w:val="26"/>
          <w:szCs w:val="26"/>
        </w:rPr>
        <w:t>em</w:t>
      </w:r>
    </w:p>
    <w:p w14:paraId="38451C3D" w14:textId="77777777" w:rsidR="00E73E68" w:rsidRPr="007E6687" w:rsidRDefault="00E73E68" w:rsidP="007E6687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>Mgr. Tomáš</w:t>
      </w:r>
      <w:r w:rsidR="001A4DC2" w:rsidRPr="007E6687">
        <w:rPr>
          <w:rFonts w:ascii="Garamond" w:hAnsi="Garamond"/>
          <w:b/>
          <w:sz w:val="26"/>
          <w:szCs w:val="26"/>
        </w:rPr>
        <w:t>em</w:t>
      </w:r>
      <w:r w:rsidRPr="007E6687">
        <w:rPr>
          <w:rFonts w:ascii="Garamond" w:hAnsi="Garamond"/>
          <w:b/>
          <w:sz w:val="26"/>
          <w:szCs w:val="26"/>
        </w:rPr>
        <w:t xml:space="preserve"> Šulek</w:t>
      </w:r>
      <w:r w:rsidR="001A4DC2" w:rsidRPr="007E6687">
        <w:rPr>
          <w:rFonts w:ascii="Garamond" w:hAnsi="Garamond"/>
          <w:b/>
          <w:sz w:val="26"/>
          <w:szCs w:val="26"/>
        </w:rPr>
        <w:t>em</w:t>
      </w:r>
    </w:p>
    <w:p w14:paraId="4E591C70" w14:textId="77777777" w:rsidR="00E73E68" w:rsidRPr="007E6687" w:rsidRDefault="001A4DC2" w:rsidP="007E6687">
      <w:p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advokáty</w:t>
      </w:r>
      <w:r w:rsidR="00E73E68" w:rsidRPr="007E6687">
        <w:rPr>
          <w:rFonts w:ascii="Garamond" w:hAnsi="Garamond"/>
          <w:sz w:val="26"/>
          <w:szCs w:val="26"/>
        </w:rPr>
        <w:t xml:space="preserve"> Advokátní kanceláře INDRA, ŠEBESTA, KINCL</w:t>
      </w:r>
    </w:p>
    <w:p w14:paraId="4BA4CB14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se sídlem Čechyňská 361/16. 602 00 Brno</w:t>
      </w:r>
    </w:p>
    <w:p w14:paraId="0C0FA8AB" w14:textId="0F822BFB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IČ</w:t>
      </w:r>
      <w:r w:rsidR="00102525" w:rsidRPr="007E6687">
        <w:rPr>
          <w:rFonts w:ascii="Garamond" w:hAnsi="Garamond"/>
          <w:sz w:val="26"/>
          <w:szCs w:val="26"/>
        </w:rPr>
        <w:t>O</w:t>
      </w:r>
      <w:r w:rsidRPr="007E6687">
        <w:rPr>
          <w:rFonts w:ascii="Garamond" w:hAnsi="Garamond"/>
          <w:sz w:val="26"/>
          <w:szCs w:val="26"/>
        </w:rPr>
        <w:t xml:space="preserve"> 02407906</w:t>
      </w:r>
    </w:p>
    <w:p w14:paraId="4FC658E6" w14:textId="0FDDFFEC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DIČ CZ8105083800</w:t>
      </w:r>
    </w:p>
    <w:p w14:paraId="074D52EA" w14:textId="12102550" w:rsidR="00E73E68" w:rsidRPr="007E6687" w:rsidRDefault="00D76B84" w:rsidP="007E6687">
      <w:p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zastoupenými</w:t>
      </w:r>
      <w:r w:rsidR="00E73E68" w:rsidRPr="007E6687">
        <w:rPr>
          <w:rFonts w:ascii="Garamond" w:hAnsi="Garamond"/>
          <w:sz w:val="26"/>
          <w:szCs w:val="26"/>
        </w:rPr>
        <w:t xml:space="preserve"> Mgr. Tomášem Šulekem, advokát</w:t>
      </w:r>
      <w:r w:rsidR="00407605">
        <w:rPr>
          <w:rFonts w:ascii="Garamond" w:hAnsi="Garamond"/>
          <w:sz w:val="26"/>
          <w:szCs w:val="26"/>
        </w:rPr>
        <w:t>em</w:t>
      </w:r>
      <w:r w:rsidR="00E73E68" w:rsidRPr="007E6687">
        <w:rPr>
          <w:rFonts w:ascii="Garamond" w:hAnsi="Garamond"/>
          <w:sz w:val="26"/>
          <w:szCs w:val="26"/>
        </w:rPr>
        <w:t xml:space="preserve"> a společník</w:t>
      </w:r>
      <w:r w:rsidR="00407605">
        <w:rPr>
          <w:rFonts w:ascii="Garamond" w:hAnsi="Garamond"/>
          <w:sz w:val="26"/>
          <w:szCs w:val="26"/>
        </w:rPr>
        <w:t>em</w:t>
      </w:r>
      <w:r w:rsidR="00E73E68" w:rsidRPr="007E6687">
        <w:rPr>
          <w:rFonts w:ascii="Garamond" w:hAnsi="Garamond"/>
          <w:sz w:val="26"/>
          <w:szCs w:val="26"/>
        </w:rPr>
        <w:t xml:space="preserve"> advokátní kanceláře</w:t>
      </w:r>
    </w:p>
    <w:p w14:paraId="3C7288F0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10FC464B" w14:textId="48B9EDE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(dále jen „</w:t>
      </w:r>
      <w:r w:rsidR="00102525" w:rsidRPr="007E6687">
        <w:rPr>
          <w:rFonts w:ascii="Garamond" w:hAnsi="Garamond"/>
          <w:i/>
          <w:sz w:val="26"/>
          <w:szCs w:val="26"/>
        </w:rPr>
        <w:t>A</w:t>
      </w:r>
      <w:r w:rsidRPr="007E6687">
        <w:rPr>
          <w:rFonts w:ascii="Garamond" w:hAnsi="Garamond"/>
          <w:i/>
          <w:sz w:val="26"/>
          <w:szCs w:val="26"/>
        </w:rPr>
        <w:t>dvokáti</w:t>
      </w:r>
      <w:r w:rsidRPr="007E6687">
        <w:rPr>
          <w:rFonts w:ascii="Garamond" w:hAnsi="Garamond"/>
          <w:sz w:val="26"/>
          <w:szCs w:val="26"/>
        </w:rPr>
        <w:t>“)</w:t>
      </w:r>
    </w:p>
    <w:p w14:paraId="1FE885BF" w14:textId="2747864E" w:rsidR="00102525" w:rsidRPr="007E6687" w:rsidRDefault="00102525" w:rsidP="007E6687">
      <w:pPr>
        <w:spacing w:after="0"/>
        <w:jc w:val="both"/>
        <w:rPr>
          <w:rFonts w:ascii="Garamond" w:hAnsi="Garamond"/>
          <w:i/>
          <w:iCs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(Mandant a Advokáti dále společně také jen </w:t>
      </w:r>
      <w:r w:rsidRPr="007E6687">
        <w:rPr>
          <w:rFonts w:ascii="Garamond" w:hAnsi="Garamond"/>
          <w:i/>
          <w:iCs/>
          <w:sz w:val="26"/>
          <w:szCs w:val="26"/>
        </w:rPr>
        <w:t>„Smluvní strany“</w:t>
      </w:r>
      <w:r w:rsidRPr="007E6687">
        <w:rPr>
          <w:rFonts w:ascii="Garamond" w:hAnsi="Garamond"/>
          <w:sz w:val="26"/>
          <w:szCs w:val="26"/>
        </w:rPr>
        <w:t>)</w:t>
      </w:r>
    </w:p>
    <w:p w14:paraId="39215C53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4FDFB504" w14:textId="77777777" w:rsidR="00E73E68" w:rsidRPr="007E6687" w:rsidRDefault="00E73E68" w:rsidP="007E6687">
      <w:pPr>
        <w:spacing w:after="0"/>
        <w:jc w:val="both"/>
        <w:rPr>
          <w:rFonts w:ascii="Garamond" w:hAnsi="Garamond"/>
          <w:i/>
          <w:sz w:val="26"/>
          <w:szCs w:val="26"/>
        </w:rPr>
      </w:pPr>
      <w:r w:rsidRPr="007E6687">
        <w:rPr>
          <w:rFonts w:ascii="Garamond" w:hAnsi="Garamond"/>
          <w:i/>
          <w:sz w:val="26"/>
          <w:szCs w:val="26"/>
        </w:rPr>
        <w:t>takto:</w:t>
      </w:r>
    </w:p>
    <w:p w14:paraId="10C62545" w14:textId="77777777" w:rsidR="00352182" w:rsidRPr="007E6687" w:rsidRDefault="00352182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1C90935F" w14:textId="77777777" w:rsidR="00E73E68" w:rsidRPr="007E6687" w:rsidRDefault="00E73E68" w:rsidP="007E6687">
      <w:pPr>
        <w:spacing w:after="0"/>
        <w:jc w:val="center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I.</w:t>
      </w:r>
    </w:p>
    <w:p w14:paraId="71726C0A" w14:textId="77777777" w:rsidR="00E73E68" w:rsidRPr="007E6687" w:rsidRDefault="00E73E68" w:rsidP="007E6687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>Předmět smlouvy</w:t>
      </w:r>
    </w:p>
    <w:p w14:paraId="4DA7B53E" w14:textId="77777777" w:rsidR="00E73E68" w:rsidRPr="007E6687" w:rsidRDefault="00E73E68" w:rsidP="007E6687">
      <w:pPr>
        <w:spacing w:after="0"/>
        <w:jc w:val="center"/>
        <w:rPr>
          <w:rFonts w:ascii="Garamond" w:hAnsi="Garamond"/>
          <w:sz w:val="26"/>
          <w:szCs w:val="26"/>
        </w:rPr>
      </w:pPr>
    </w:p>
    <w:p w14:paraId="469125B4" w14:textId="0BB2E4FE" w:rsidR="00102525" w:rsidRPr="007E6687" w:rsidRDefault="00E73E68" w:rsidP="007E6687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/>
          <w:sz w:val="26"/>
          <w:szCs w:val="26"/>
        </w:rPr>
        <w:t xml:space="preserve">Touto </w:t>
      </w:r>
      <w:r w:rsidR="00102525" w:rsidRPr="007E6687">
        <w:rPr>
          <w:rFonts w:ascii="Garamond" w:hAnsi="Garamond"/>
          <w:sz w:val="26"/>
          <w:szCs w:val="26"/>
        </w:rPr>
        <w:t>S</w:t>
      </w:r>
      <w:r w:rsidRPr="007E6687">
        <w:rPr>
          <w:rFonts w:ascii="Garamond" w:hAnsi="Garamond"/>
          <w:sz w:val="26"/>
          <w:szCs w:val="26"/>
        </w:rPr>
        <w:t xml:space="preserve">mlouvou se </w:t>
      </w:r>
      <w:r w:rsidR="00102525" w:rsidRPr="007E6687">
        <w:rPr>
          <w:rFonts w:ascii="Garamond" w:hAnsi="Garamond"/>
          <w:sz w:val="26"/>
          <w:szCs w:val="26"/>
        </w:rPr>
        <w:t>Advokáti zavazují</w:t>
      </w:r>
      <w:r w:rsidRPr="007E6687">
        <w:rPr>
          <w:rFonts w:ascii="Garamond" w:hAnsi="Garamond"/>
          <w:sz w:val="26"/>
          <w:szCs w:val="26"/>
        </w:rPr>
        <w:t xml:space="preserve"> poskytovat </w:t>
      </w:r>
      <w:r w:rsidR="00102525" w:rsidRPr="007E6687">
        <w:rPr>
          <w:rFonts w:ascii="Garamond" w:hAnsi="Garamond"/>
          <w:sz w:val="26"/>
          <w:szCs w:val="26"/>
        </w:rPr>
        <w:t>M</w:t>
      </w:r>
      <w:r w:rsidRPr="007E6687">
        <w:rPr>
          <w:rFonts w:ascii="Garamond" w:hAnsi="Garamond"/>
          <w:sz w:val="26"/>
          <w:szCs w:val="26"/>
        </w:rPr>
        <w:t xml:space="preserve">andantovi právní služby </w:t>
      </w:r>
      <w:r w:rsidR="00102525" w:rsidRPr="007E6687">
        <w:rPr>
          <w:rFonts w:ascii="Garamond" w:hAnsi="Garamond"/>
          <w:sz w:val="26"/>
          <w:szCs w:val="26"/>
        </w:rPr>
        <w:t xml:space="preserve">(dále jen </w:t>
      </w:r>
      <w:r w:rsidR="00102525" w:rsidRPr="007E6687">
        <w:rPr>
          <w:rFonts w:ascii="Garamond" w:hAnsi="Garamond"/>
          <w:i/>
          <w:iCs/>
          <w:sz w:val="26"/>
          <w:szCs w:val="26"/>
        </w:rPr>
        <w:t>„Právní služby“</w:t>
      </w:r>
      <w:r w:rsidR="00102525" w:rsidRPr="007E6687">
        <w:rPr>
          <w:rFonts w:ascii="Garamond" w:hAnsi="Garamond"/>
          <w:sz w:val="26"/>
          <w:szCs w:val="26"/>
        </w:rPr>
        <w:t xml:space="preserve">) </w:t>
      </w:r>
      <w:r w:rsidRPr="007E6687">
        <w:rPr>
          <w:rFonts w:ascii="Garamond" w:hAnsi="Garamond"/>
          <w:sz w:val="26"/>
          <w:szCs w:val="26"/>
        </w:rPr>
        <w:t>v souvislosti s</w:t>
      </w:r>
      <w:r w:rsidR="00102525" w:rsidRPr="007E6687">
        <w:rPr>
          <w:rFonts w:ascii="Garamond" w:hAnsi="Garamond"/>
          <w:sz w:val="26"/>
          <w:szCs w:val="26"/>
        </w:rPr>
        <w:t xml:space="preserve"> vymáhání Pohledávky, kterou má Mandant za </w:t>
      </w:r>
      <w:r w:rsidR="00102525" w:rsidRPr="007E6687">
        <w:rPr>
          <w:rFonts w:ascii="Garamond" w:hAnsi="Garamond"/>
          <w:color w:val="auto"/>
          <w:sz w:val="26"/>
          <w:szCs w:val="26"/>
        </w:rPr>
        <w:t xml:space="preserve">dlužníkem společností </w:t>
      </w:r>
      <w:r w:rsidR="00102525" w:rsidRPr="007E6687">
        <w:rPr>
          <w:rFonts w:ascii="Garamond" w:eastAsia="Times New Roman" w:hAnsi="Garamond"/>
          <w:b/>
          <w:sz w:val="26"/>
          <w:szCs w:val="26"/>
        </w:rPr>
        <w:t>Arca Investments, a.s.</w:t>
      </w:r>
      <w:r w:rsidR="00102525" w:rsidRPr="007E6687">
        <w:rPr>
          <w:rFonts w:ascii="Garamond" w:eastAsia="Times New Roman" w:hAnsi="Garamond"/>
          <w:sz w:val="26"/>
          <w:szCs w:val="26"/>
        </w:rPr>
        <w:t xml:space="preserve">, IČO </w:t>
      </w:r>
      <w:bookmarkStart w:id="0" w:name="_Hlk52355196"/>
      <w:r w:rsidR="00102525" w:rsidRPr="007E6687">
        <w:rPr>
          <w:rFonts w:ascii="Garamond" w:eastAsia="Times New Roman" w:hAnsi="Garamond"/>
          <w:sz w:val="26"/>
          <w:szCs w:val="26"/>
        </w:rPr>
        <w:t>35975041</w:t>
      </w:r>
      <w:bookmarkEnd w:id="0"/>
      <w:r w:rsidR="00102525" w:rsidRPr="007E6687">
        <w:rPr>
          <w:rFonts w:ascii="Garamond" w:eastAsia="Times New Roman" w:hAnsi="Garamond"/>
          <w:sz w:val="26"/>
          <w:szCs w:val="26"/>
        </w:rPr>
        <w:t xml:space="preserve">, se sídlem 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Plynárenská 7/A,  Bratislava, PSČ 821 09, zaps. v obchodní rejstříku vedeném Okresním soudem v Bratislavě I, oddíl Sa, vložka 3788/B (dále jen </w:t>
      </w:r>
      <w:r w:rsidR="00102525" w:rsidRPr="007E6687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„Dlužník 1“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), vzniklé z titulu směnky vlastní, vystavené Dlužníkem dne </w:t>
      </w:r>
      <w:r w:rsidR="00102525" w:rsidRPr="007E6687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znějící na řad Mandanta a na směnečnou sumu ve výši </w:t>
      </w:r>
      <w:r w:rsidR="00102525" w:rsidRPr="007E6687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…………..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,- Kč, splatné dne </w:t>
      </w:r>
      <w:r w:rsidR="00102525" w:rsidRPr="007E6687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…………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s doložkou „bez protestu“ (dále 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lastRenderedPageBreak/>
        <w:t xml:space="preserve">jen </w:t>
      </w:r>
      <w:r w:rsidR="00102525" w:rsidRPr="007E6687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 xml:space="preserve">„Pohledávka“ 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či </w:t>
      </w:r>
      <w:r w:rsidR="00102525" w:rsidRPr="007E6687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„Směnka“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). Směnka je avalovaná </w:t>
      </w:r>
      <w:r w:rsidR="00924F48">
        <w:rPr>
          <w:rFonts w:ascii="Garamond" w:hAnsi="Garamond" w:cs="Arial CE"/>
          <w:bCs/>
          <w:sz w:val="26"/>
          <w:szCs w:val="26"/>
          <w:shd w:val="clear" w:color="auto" w:fill="FFFFFF"/>
        </w:rPr>
        <w:t>………………….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a (dále jen </w:t>
      </w:r>
      <w:r w:rsidR="00102525" w:rsidRPr="007E6687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„Dlužník 2“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Dlužník 1 a Dlužník 2 dále společně také jen </w:t>
      </w:r>
      <w:r w:rsidR="00102525" w:rsidRPr="007E6687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„Dlužníci“</w:t>
      </w:r>
      <w:r w:rsidR="00102525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). </w:t>
      </w:r>
    </w:p>
    <w:p w14:paraId="31DF0A96" w14:textId="77777777" w:rsidR="00102525" w:rsidRPr="007E6687" w:rsidRDefault="00102525" w:rsidP="007E6687">
      <w:pPr>
        <w:pStyle w:val="Default"/>
        <w:spacing w:line="276" w:lineRule="auto"/>
        <w:ind w:left="360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72645039" w14:textId="434DE7B6" w:rsidR="00102525" w:rsidRPr="007E6687" w:rsidRDefault="004B21DA" w:rsidP="007E6687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V rámci poskytování Právních služeb budou Advokáti zejména:</w:t>
      </w:r>
    </w:p>
    <w:p w14:paraId="1EBF1886" w14:textId="77777777" w:rsidR="004B21DA" w:rsidRPr="007E6687" w:rsidRDefault="004B21DA" w:rsidP="007E6687">
      <w:pPr>
        <w:pStyle w:val="Default"/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5D4BB550" w14:textId="53F97892" w:rsidR="004B21DA" w:rsidRPr="007E6687" w:rsidRDefault="004B21DA" w:rsidP="007E6687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zastupovat Mandanta při jednáních se smluvními partnery, s Dlužníky a s dalšími právními subjekty;</w:t>
      </w:r>
    </w:p>
    <w:p w14:paraId="24934B16" w14:textId="4D5378C1" w:rsidR="004B21DA" w:rsidRPr="007E6687" w:rsidRDefault="009A0419" w:rsidP="007E6687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v plném rozsahu </w:t>
      </w:r>
      <w:r w:rsidR="004B21DA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zastupovat Manda</w:t>
      </w: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n</w:t>
      </w:r>
      <w:r w:rsidR="004B21DA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ta </w:t>
      </w: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v řízeních, která jsou vedena proti Dlužníkům;</w:t>
      </w:r>
    </w:p>
    <w:p w14:paraId="5BE723C1" w14:textId="7338629F" w:rsidR="009A0419" w:rsidRPr="007E6687" w:rsidRDefault="009A0419" w:rsidP="007E6687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uplatňovat v za</w:t>
      </w:r>
      <w:r w:rsidR="00DC23FA">
        <w:rPr>
          <w:rFonts w:ascii="Garamond" w:hAnsi="Garamond" w:cs="Arial CE"/>
          <w:bCs/>
          <w:sz w:val="26"/>
          <w:szCs w:val="26"/>
          <w:shd w:val="clear" w:color="auto" w:fill="FFFFFF"/>
        </w:rPr>
        <w:t>s</w:t>
      </w: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t</w:t>
      </w:r>
      <w:r w:rsidR="00DC23FA">
        <w:rPr>
          <w:rFonts w:ascii="Garamond" w:hAnsi="Garamond" w:cs="Arial CE"/>
          <w:bCs/>
          <w:sz w:val="26"/>
          <w:szCs w:val="26"/>
          <w:shd w:val="clear" w:color="auto" w:fill="FFFFFF"/>
        </w:rPr>
        <w:t>o</w:t>
      </w: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upení Mandanta Pohledávku, a to zejména podáváním návrhů a žalob k soudům, rozhodcům, exekutorům, přihlašováním Pohledávky do insolvenčního řízení;</w:t>
      </w:r>
    </w:p>
    <w:p w14:paraId="1C43EC69" w14:textId="6C18E2F3" w:rsidR="009A0419" w:rsidRPr="007E6687" w:rsidRDefault="009A0419" w:rsidP="007E6687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zastupovat Mandanta při výkonu všech jeho práv, které s Pohledávkou souvisejí;</w:t>
      </w:r>
    </w:p>
    <w:p w14:paraId="11C77220" w14:textId="65F08FCD" w:rsidR="009A0419" w:rsidRPr="007E6687" w:rsidRDefault="00D05995" w:rsidP="007E6687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přijímat a doručovat v zastoupení Mandanta veškeré písemnosti;</w:t>
      </w:r>
    </w:p>
    <w:p w14:paraId="58C999FE" w14:textId="47D3BD9B" w:rsidR="00D05995" w:rsidRPr="007E6687" w:rsidRDefault="00D05995" w:rsidP="007E6687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přijímat v zastoupení Mandanta veškerá plnění na Pohledávku;</w:t>
      </w:r>
    </w:p>
    <w:p w14:paraId="49C4C03D" w14:textId="2158D2F3" w:rsidR="00E73E68" w:rsidRPr="007E6687" w:rsidRDefault="00D05995" w:rsidP="007E6687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činit v zastoupení </w:t>
      </w:r>
      <w:r w:rsidR="00DC23FA">
        <w:rPr>
          <w:rFonts w:ascii="Garamond" w:hAnsi="Garamond" w:cs="Arial CE"/>
          <w:bCs/>
          <w:sz w:val="26"/>
          <w:szCs w:val="26"/>
          <w:shd w:val="clear" w:color="auto" w:fill="FFFFFF"/>
        </w:rPr>
        <w:t>M</w:t>
      </w:r>
      <w:r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andanta veškeré další úkony či jednání, které s Pohledávkami souvisí.</w:t>
      </w:r>
    </w:p>
    <w:p w14:paraId="1878115E" w14:textId="77777777" w:rsidR="00A559E1" w:rsidRPr="007E6687" w:rsidRDefault="00A559E1" w:rsidP="007E6687">
      <w:pPr>
        <w:pStyle w:val="Default"/>
        <w:spacing w:line="276" w:lineRule="auto"/>
        <w:ind w:left="720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4CE69A9D" w14:textId="70088B5D" w:rsidR="00D05995" w:rsidRPr="007E6687" w:rsidRDefault="00D75BB4" w:rsidP="007E6687">
      <w:pPr>
        <w:spacing w:after="0"/>
        <w:jc w:val="center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II.</w:t>
      </w:r>
    </w:p>
    <w:p w14:paraId="12D7616E" w14:textId="57B2F3EC" w:rsidR="00D75BB4" w:rsidRPr="007E6687" w:rsidRDefault="00D75BB4" w:rsidP="007E6687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7E6687">
        <w:rPr>
          <w:rFonts w:ascii="Garamond" w:hAnsi="Garamond"/>
          <w:b/>
          <w:bCs/>
          <w:sz w:val="26"/>
          <w:szCs w:val="26"/>
        </w:rPr>
        <w:t>Podmínky poskytování právních služeb</w:t>
      </w:r>
    </w:p>
    <w:p w14:paraId="6AC1132D" w14:textId="77777777" w:rsidR="00D75BB4" w:rsidRPr="007E6687" w:rsidRDefault="00D75BB4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533A73CB" w14:textId="04790A27" w:rsidR="008B3B2E" w:rsidRPr="007E6687" w:rsidRDefault="00D75BB4" w:rsidP="007E6687">
      <w:pPr>
        <w:pStyle w:val="Odstavecseseznamem"/>
        <w:numPr>
          <w:ilvl w:val="0"/>
          <w:numId w:val="8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Za účelem poskytování Právních služeb Mandant podepíše jednomu z Advokátů plnou moc ve znění, v jakém je </w:t>
      </w:r>
      <w:r w:rsidRPr="007E6687">
        <w:rPr>
          <w:rFonts w:ascii="Garamond" w:hAnsi="Garamond"/>
          <w:sz w:val="26"/>
          <w:szCs w:val="26"/>
          <w:u w:val="single"/>
        </w:rPr>
        <w:t>přílohou č. 1</w:t>
      </w:r>
      <w:r w:rsidRPr="007E6687">
        <w:rPr>
          <w:rFonts w:ascii="Garamond" w:hAnsi="Garamond"/>
          <w:sz w:val="26"/>
          <w:szCs w:val="26"/>
        </w:rPr>
        <w:t xml:space="preserve"> této Smlouvy</w:t>
      </w:r>
      <w:r w:rsidR="008B3B2E" w:rsidRPr="007E6687">
        <w:rPr>
          <w:rFonts w:ascii="Garamond" w:hAnsi="Garamond"/>
          <w:sz w:val="26"/>
          <w:szCs w:val="26"/>
        </w:rPr>
        <w:t xml:space="preserve"> a zajistí úřední ověření svého podpisu na této plné moci</w:t>
      </w:r>
      <w:r w:rsidRPr="007E6687">
        <w:rPr>
          <w:rFonts w:ascii="Garamond" w:hAnsi="Garamond"/>
          <w:sz w:val="26"/>
          <w:szCs w:val="26"/>
        </w:rPr>
        <w:t>. V případě, že by se později ukázalo, že Advokáti potřebují za účelem poskytování Právních služeb vystavit další plnou moc (např. speciální plnou moc</w:t>
      </w:r>
      <w:r w:rsidR="008B3B2E" w:rsidRPr="007E6687">
        <w:rPr>
          <w:rFonts w:ascii="Garamond" w:hAnsi="Garamond"/>
          <w:sz w:val="26"/>
          <w:szCs w:val="26"/>
        </w:rPr>
        <w:t xml:space="preserve"> ke konkrétním úkonům</w:t>
      </w:r>
      <w:r w:rsidRPr="007E6687">
        <w:rPr>
          <w:rFonts w:ascii="Garamond" w:hAnsi="Garamond"/>
          <w:sz w:val="26"/>
          <w:szCs w:val="26"/>
        </w:rPr>
        <w:t xml:space="preserve">), zavazuje se ji Mandant Advokátům podepsat v přiměřené době poté, co ho k tomu Advokáti vyzvou. </w:t>
      </w:r>
    </w:p>
    <w:p w14:paraId="32873C68" w14:textId="77777777" w:rsidR="008B3B2E" w:rsidRPr="007E6687" w:rsidRDefault="008B3B2E" w:rsidP="007E6687">
      <w:pPr>
        <w:pStyle w:val="Odstavecseseznamem"/>
        <w:spacing w:after="0"/>
        <w:ind w:left="360"/>
        <w:jc w:val="both"/>
        <w:rPr>
          <w:rFonts w:ascii="Garamond" w:hAnsi="Garamond"/>
          <w:sz w:val="26"/>
          <w:szCs w:val="26"/>
        </w:rPr>
      </w:pPr>
    </w:p>
    <w:p w14:paraId="419BD927" w14:textId="38BF6A23" w:rsidR="00E73E68" w:rsidRPr="007E6687" w:rsidRDefault="008B3B2E" w:rsidP="007E6687">
      <w:pPr>
        <w:pStyle w:val="Odstavecseseznamem"/>
        <w:numPr>
          <w:ilvl w:val="0"/>
          <w:numId w:val="8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Advokáti se zavazují postupovat při plnění </w:t>
      </w:r>
      <w:r w:rsidR="00E73E68" w:rsidRPr="007E6687">
        <w:rPr>
          <w:rFonts w:ascii="Garamond" w:hAnsi="Garamond"/>
          <w:sz w:val="26"/>
          <w:szCs w:val="26"/>
        </w:rPr>
        <w:t xml:space="preserve">této </w:t>
      </w:r>
      <w:r w:rsidRPr="007E6687">
        <w:rPr>
          <w:rFonts w:ascii="Garamond" w:hAnsi="Garamond"/>
          <w:sz w:val="26"/>
          <w:szCs w:val="26"/>
        </w:rPr>
        <w:t>S</w:t>
      </w:r>
      <w:r w:rsidR="00E73E68" w:rsidRPr="007E6687">
        <w:rPr>
          <w:rFonts w:ascii="Garamond" w:hAnsi="Garamond"/>
          <w:sz w:val="26"/>
          <w:szCs w:val="26"/>
        </w:rPr>
        <w:t xml:space="preserve">mlouvy s odbornou péčí, podle pokynů </w:t>
      </w:r>
      <w:r w:rsidR="00DC23FA">
        <w:rPr>
          <w:rFonts w:ascii="Garamond" w:hAnsi="Garamond"/>
          <w:sz w:val="26"/>
          <w:szCs w:val="26"/>
        </w:rPr>
        <w:t>M</w:t>
      </w:r>
      <w:r w:rsidR="00E73E68" w:rsidRPr="007E6687">
        <w:rPr>
          <w:rFonts w:ascii="Garamond" w:hAnsi="Garamond"/>
          <w:sz w:val="26"/>
          <w:szCs w:val="26"/>
        </w:rPr>
        <w:t>andanta</w:t>
      </w:r>
      <w:r w:rsidRPr="007E6687">
        <w:rPr>
          <w:rFonts w:ascii="Garamond" w:hAnsi="Garamond"/>
          <w:sz w:val="26"/>
          <w:szCs w:val="26"/>
        </w:rPr>
        <w:t xml:space="preserve"> (resp. Investičního fondu, jak je tento pojem definován v následujícím ustanovení této Smlouvy)</w:t>
      </w:r>
      <w:r w:rsidR="00E73E68" w:rsidRPr="007E6687">
        <w:rPr>
          <w:rFonts w:ascii="Garamond" w:hAnsi="Garamond"/>
          <w:sz w:val="26"/>
          <w:szCs w:val="26"/>
        </w:rPr>
        <w:t xml:space="preserve"> a v souladu s</w:t>
      </w:r>
      <w:r w:rsidRPr="007E6687">
        <w:rPr>
          <w:rFonts w:ascii="Garamond" w:hAnsi="Garamond"/>
          <w:sz w:val="26"/>
          <w:szCs w:val="26"/>
        </w:rPr>
        <w:t>e zájmy Mandanta</w:t>
      </w:r>
      <w:r w:rsidR="00E73E68" w:rsidRPr="007E6687">
        <w:rPr>
          <w:rFonts w:ascii="Garamond" w:hAnsi="Garamond"/>
          <w:sz w:val="26"/>
          <w:szCs w:val="26"/>
        </w:rPr>
        <w:t>.</w:t>
      </w:r>
    </w:p>
    <w:p w14:paraId="16F9956B" w14:textId="77777777" w:rsidR="008B3B2E" w:rsidRPr="007E6687" w:rsidRDefault="008B3B2E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7813498D" w14:textId="1279826D" w:rsidR="008B3B2E" w:rsidRPr="007E6687" w:rsidRDefault="008B3B2E" w:rsidP="007E6687">
      <w:pPr>
        <w:pStyle w:val="Odstavecseseznamem"/>
        <w:numPr>
          <w:ilvl w:val="0"/>
          <w:numId w:val="8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Advokáti jsou si vědomi toho, že dne </w:t>
      </w:r>
      <w:r w:rsidRPr="007E6687">
        <w:rPr>
          <w:rFonts w:ascii="Garamond" w:hAnsi="Garamond"/>
          <w:sz w:val="26"/>
          <w:szCs w:val="26"/>
          <w:highlight w:val="yellow"/>
        </w:rPr>
        <w:t>………</w:t>
      </w:r>
      <w:r w:rsidRPr="007E6687">
        <w:rPr>
          <w:rFonts w:ascii="Garamond" w:hAnsi="Garamond"/>
          <w:sz w:val="26"/>
          <w:szCs w:val="26"/>
        </w:rPr>
        <w:t xml:space="preserve"> Mandant uzavřel Smlouvu o spolupráci se společností IFIS investiční fond a.s.,</w:t>
      </w:r>
      <w:r w:rsidR="00A559E1" w:rsidRPr="007E6687">
        <w:rPr>
          <w:rFonts w:ascii="Garamond" w:hAnsi="Garamond"/>
          <w:sz w:val="26"/>
          <w:szCs w:val="26"/>
        </w:rPr>
        <w:t xml:space="preserve"> </w:t>
      </w:r>
      <w:r w:rsidRPr="007E6687">
        <w:rPr>
          <w:rFonts w:ascii="Garamond" w:hAnsi="Garamond"/>
          <w:sz w:val="26"/>
          <w:szCs w:val="26"/>
        </w:rPr>
        <w:t>IČO 24316717</w:t>
      </w:r>
      <w:r w:rsidR="00A559E1" w:rsidRPr="007E6687">
        <w:rPr>
          <w:rFonts w:ascii="Garamond" w:hAnsi="Garamond"/>
          <w:sz w:val="26"/>
          <w:szCs w:val="26"/>
        </w:rPr>
        <w:t xml:space="preserve">, </w:t>
      </w:r>
      <w:r w:rsidRPr="007E6687">
        <w:rPr>
          <w:rFonts w:ascii="Garamond" w:hAnsi="Garamond"/>
          <w:sz w:val="26"/>
          <w:szCs w:val="26"/>
        </w:rPr>
        <w:t>se sídlem Čechyňská 419/14a, 60200 Brno – Trnitá</w:t>
      </w:r>
      <w:r w:rsidR="00A559E1" w:rsidRPr="007E6687">
        <w:rPr>
          <w:rFonts w:ascii="Garamond" w:hAnsi="Garamond"/>
          <w:sz w:val="26"/>
          <w:szCs w:val="26"/>
        </w:rPr>
        <w:t xml:space="preserve">, </w:t>
      </w:r>
      <w:r w:rsidRPr="007E6687">
        <w:rPr>
          <w:rFonts w:ascii="Garamond" w:hAnsi="Garamond"/>
          <w:sz w:val="26"/>
          <w:szCs w:val="26"/>
        </w:rPr>
        <w:t>zaps. v OR vedeném Krajským soudem v Brně pod sp. zn. B 8086</w:t>
      </w:r>
      <w:r w:rsidR="00A559E1" w:rsidRPr="007E6687">
        <w:rPr>
          <w:rFonts w:ascii="Garamond" w:hAnsi="Garamond"/>
          <w:sz w:val="26"/>
          <w:szCs w:val="26"/>
        </w:rPr>
        <w:t xml:space="preserve"> (dále jen </w:t>
      </w:r>
      <w:r w:rsidR="00A559E1" w:rsidRPr="007E6687">
        <w:rPr>
          <w:rFonts w:ascii="Garamond" w:hAnsi="Garamond"/>
          <w:i/>
          <w:iCs/>
          <w:sz w:val="26"/>
          <w:szCs w:val="26"/>
        </w:rPr>
        <w:t>„Smlouva o spolupráci“</w:t>
      </w:r>
      <w:r w:rsidR="00A559E1" w:rsidRPr="007E6687">
        <w:rPr>
          <w:rFonts w:ascii="Garamond" w:hAnsi="Garamond"/>
          <w:sz w:val="26"/>
          <w:szCs w:val="26"/>
        </w:rPr>
        <w:t xml:space="preserve"> a </w:t>
      </w:r>
      <w:r w:rsidR="00A559E1" w:rsidRPr="007E6687">
        <w:rPr>
          <w:rFonts w:ascii="Garamond" w:hAnsi="Garamond"/>
          <w:i/>
          <w:iCs/>
          <w:sz w:val="26"/>
          <w:szCs w:val="26"/>
        </w:rPr>
        <w:t>„Investiční fond“</w:t>
      </w:r>
      <w:r w:rsidR="00A559E1" w:rsidRPr="007E6687">
        <w:rPr>
          <w:rFonts w:ascii="Garamond" w:hAnsi="Garamond"/>
          <w:sz w:val="26"/>
          <w:szCs w:val="26"/>
        </w:rPr>
        <w:t xml:space="preserve">), přičemž kopie Smlouvy o spolupráci </w:t>
      </w:r>
      <w:r w:rsidR="00A559E1" w:rsidRPr="007E6687">
        <w:rPr>
          <w:rFonts w:ascii="Garamond" w:hAnsi="Garamond"/>
          <w:sz w:val="26"/>
          <w:szCs w:val="26"/>
        </w:rPr>
        <w:lastRenderedPageBreak/>
        <w:t xml:space="preserve">tvoří </w:t>
      </w:r>
      <w:r w:rsidR="00A559E1" w:rsidRPr="007E6687">
        <w:rPr>
          <w:rFonts w:ascii="Garamond" w:hAnsi="Garamond"/>
          <w:sz w:val="26"/>
          <w:szCs w:val="26"/>
          <w:u w:val="single"/>
        </w:rPr>
        <w:t xml:space="preserve">přílohu č. 2 </w:t>
      </w:r>
      <w:r w:rsidR="00A559E1" w:rsidRPr="007E6687">
        <w:rPr>
          <w:rFonts w:ascii="Garamond" w:hAnsi="Garamond"/>
          <w:sz w:val="26"/>
          <w:szCs w:val="26"/>
        </w:rPr>
        <w:t>této Smlouvy. Mandant tímto uděluje Advokátům pokyn, aby při poskytování Právních služeb postupovali v souladu s pokyny, které jim bude udělovat Investiční fond v souladu s čl. V. odst. 3 Smlouvy o spolupráci.</w:t>
      </w:r>
    </w:p>
    <w:p w14:paraId="630C5EBC" w14:textId="77777777" w:rsidR="008B3B2E" w:rsidRPr="007E6687" w:rsidRDefault="008B3B2E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282F7008" w14:textId="52260652" w:rsidR="00E73E68" w:rsidRPr="007E6687" w:rsidRDefault="00E73E68" w:rsidP="007E6687">
      <w:pPr>
        <w:pStyle w:val="Odstavecseseznamem"/>
        <w:numPr>
          <w:ilvl w:val="0"/>
          <w:numId w:val="8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Advokáti jsou povinni oznamovat </w:t>
      </w:r>
      <w:r w:rsidR="00A559E1" w:rsidRPr="007E6687">
        <w:rPr>
          <w:rFonts w:ascii="Garamond" w:hAnsi="Garamond"/>
          <w:sz w:val="26"/>
          <w:szCs w:val="26"/>
        </w:rPr>
        <w:t>M</w:t>
      </w:r>
      <w:r w:rsidRPr="007E6687">
        <w:rPr>
          <w:rFonts w:ascii="Garamond" w:hAnsi="Garamond"/>
          <w:sz w:val="26"/>
          <w:szCs w:val="26"/>
        </w:rPr>
        <w:t>andantovi</w:t>
      </w:r>
      <w:r w:rsidR="00A559E1" w:rsidRPr="007E6687">
        <w:rPr>
          <w:rFonts w:ascii="Garamond" w:hAnsi="Garamond"/>
          <w:sz w:val="26"/>
          <w:szCs w:val="26"/>
        </w:rPr>
        <w:t xml:space="preserve"> a Investičnímu fondu</w:t>
      </w:r>
      <w:r w:rsidRPr="007E6687">
        <w:rPr>
          <w:rFonts w:ascii="Garamond" w:hAnsi="Garamond"/>
          <w:sz w:val="26"/>
          <w:szCs w:val="26"/>
        </w:rPr>
        <w:t xml:space="preserve"> všechny okolnosti, které zjistí při poskytování </w:t>
      </w:r>
      <w:r w:rsidR="00A559E1" w:rsidRPr="007E6687">
        <w:rPr>
          <w:rFonts w:ascii="Garamond" w:hAnsi="Garamond"/>
          <w:sz w:val="26"/>
          <w:szCs w:val="26"/>
        </w:rPr>
        <w:t>Právních služeb</w:t>
      </w:r>
      <w:r w:rsidRPr="007E6687">
        <w:rPr>
          <w:rFonts w:ascii="Garamond" w:hAnsi="Garamond"/>
          <w:sz w:val="26"/>
          <w:szCs w:val="26"/>
        </w:rPr>
        <w:t xml:space="preserve"> a jež mohou mít vliv na změnu </w:t>
      </w:r>
      <w:r w:rsidR="00A559E1" w:rsidRPr="007E6687">
        <w:rPr>
          <w:rFonts w:ascii="Garamond" w:hAnsi="Garamond"/>
          <w:sz w:val="26"/>
          <w:szCs w:val="26"/>
        </w:rPr>
        <w:t>příslušných pokynů k poskytování Právních služeb</w:t>
      </w:r>
      <w:r w:rsidRPr="007E6687">
        <w:rPr>
          <w:rFonts w:ascii="Garamond" w:hAnsi="Garamond"/>
          <w:sz w:val="26"/>
          <w:szCs w:val="26"/>
        </w:rPr>
        <w:t>.</w:t>
      </w:r>
    </w:p>
    <w:p w14:paraId="39516FB7" w14:textId="77777777" w:rsidR="00A559E1" w:rsidRPr="007E6687" w:rsidRDefault="00A559E1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09EAB770" w14:textId="61579D70" w:rsidR="00A559E1" w:rsidRPr="007E6687" w:rsidRDefault="00E73E68" w:rsidP="007E6687">
      <w:pPr>
        <w:pStyle w:val="Odstavecseseznamem"/>
        <w:numPr>
          <w:ilvl w:val="0"/>
          <w:numId w:val="8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Mandant je povinen předat včas </w:t>
      </w:r>
      <w:r w:rsidR="00A559E1" w:rsidRPr="007E6687">
        <w:rPr>
          <w:rFonts w:ascii="Garamond" w:hAnsi="Garamond"/>
          <w:sz w:val="26"/>
          <w:szCs w:val="26"/>
        </w:rPr>
        <w:t>A</w:t>
      </w:r>
      <w:r w:rsidRPr="007E6687">
        <w:rPr>
          <w:rFonts w:ascii="Garamond" w:hAnsi="Garamond"/>
          <w:sz w:val="26"/>
          <w:szCs w:val="26"/>
        </w:rPr>
        <w:t xml:space="preserve">dvokátům veškeré </w:t>
      </w:r>
      <w:r w:rsidR="00A559E1" w:rsidRPr="007E6687">
        <w:rPr>
          <w:rFonts w:ascii="Garamond" w:hAnsi="Garamond"/>
          <w:sz w:val="26"/>
          <w:szCs w:val="26"/>
        </w:rPr>
        <w:t xml:space="preserve">dokumenty </w:t>
      </w:r>
      <w:r w:rsidRPr="007E6687">
        <w:rPr>
          <w:rFonts w:ascii="Garamond" w:hAnsi="Garamond"/>
          <w:sz w:val="26"/>
          <w:szCs w:val="26"/>
        </w:rPr>
        <w:t xml:space="preserve">a informace, jež jsou potřebné k poskytování </w:t>
      </w:r>
      <w:r w:rsidR="00A559E1" w:rsidRPr="007E6687">
        <w:rPr>
          <w:rFonts w:ascii="Garamond" w:hAnsi="Garamond"/>
          <w:sz w:val="26"/>
          <w:szCs w:val="26"/>
        </w:rPr>
        <w:t xml:space="preserve">Právních služeb. Mandant do pěti (5) dnů od podpisu této Smlouvy předá Advokátům originál </w:t>
      </w:r>
      <w:r w:rsidR="00A559E1" w:rsidRPr="00DC23FA">
        <w:rPr>
          <w:rFonts w:ascii="Garamond" w:hAnsi="Garamond"/>
          <w:sz w:val="26"/>
          <w:szCs w:val="26"/>
          <w:highlight w:val="yellow"/>
        </w:rPr>
        <w:t>Směnky</w:t>
      </w:r>
      <w:r w:rsidR="00DC23FA" w:rsidRPr="00DC23FA">
        <w:rPr>
          <w:rFonts w:ascii="Garamond" w:hAnsi="Garamond"/>
          <w:sz w:val="26"/>
          <w:szCs w:val="26"/>
          <w:highlight w:val="yellow"/>
        </w:rPr>
        <w:t>/Dluhopisu</w:t>
      </w:r>
      <w:r w:rsidR="00A559E1" w:rsidRPr="007E6687">
        <w:rPr>
          <w:rFonts w:ascii="Garamond" w:hAnsi="Garamond"/>
          <w:sz w:val="26"/>
          <w:szCs w:val="26"/>
        </w:rPr>
        <w:t>, a to proti podpisu předávacího protokolu.</w:t>
      </w:r>
    </w:p>
    <w:p w14:paraId="3E5A0B25" w14:textId="77777777" w:rsidR="00A559E1" w:rsidRPr="007E6687" w:rsidRDefault="00A559E1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44390EEC" w14:textId="3EBB4447" w:rsidR="00A559E1" w:rsidRDefault="00A559E1" w:rsidP="007E6687">
      <w:pPr>
        <w:pStyle w:val="Odstavecseseznamem"/>
        <w:numPr>
          <w:ilvl w:val="0"/>
          <w:numId w:val="8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Advokáti se zavazují vždy bez zbytečného odkladu řádně a včas předat nebo postoupit </w:t>
      </w:r>
      <w:r w:rsidR="00DC23FA">
        <w:rPr>
          <w:rFonts w:ascii="Garamond" w:hAnsi="Garamond"/>
          <w:sz w:val="26"/>
          <w:szCs w:val="26"/>
        </w:rPr>
        <w:t>M</w:t>
      </w:r>
      <w:r w:rsidRPr="007E6687">
        <w:rPr>
          <w:rFonts w:ascii="Garamond" w:hAnsi="Garamond"/>
          <w:sz w:val="26"/>
          <w:szCs w:val="26"/>
        </w:rPr>
        <w:t>andantovi veškeré věci, práva nebo jiné majetkové hodnoty, které za něho převzali nebo pro něj získali při poskytování Právních služeb</w:t>
      </w:r>
      <w:r w:rsidR="00865A8C">
        <w:rPr>
          <w:rFonts w:ascii="Garamond" w:hAnsi="Garamond"/>
          <w:sz w:val="26"/>
          <w:szCs w:val="26"/>
        </w:rPr>
        <w:t>, a to s výjimkou uvedeno</w:t>
      </w:r>
      <w:r w:rsidR="00DC23FA">
        <w:rPr>
          <w:rFonts w:ascii="Garamond" w:hAnsi="Garamond"/>
          <w:sz w:val="26"/>
          <w:szCs w:val="26"/>
        </w:rPr>
        <w:t>u</w:t>
      </w:r>
      <w:r w:rsidR="00865A8C">
        <w:rPr>
          <w:rFonts w:ascii="Garamond" w:hAnsi="Garamond"/>
          <w:sz w:val="26"/>
          <w:szCs w:val="26"/>
        </w:rPr>
        <w:t xml:space="preserve"> v čl. IV. odst. 3. této Smlouvy</w:t>
      </w:r>
      <w:r w:rsidRPr="007E6687">
        <w:rPr>
          <w:rFonts w:ascii="Garamond" w:hAnsi="Garamond"/>
          <w:sz w:val="26"/>
          <w:szCs w:val="26"/>
        </w:rPr>
        <w:t xml:space="preserve">. Výhradně jen Mandant bude udělovat Advokátům pokyny k tomu, jakým způsobem má být s vymoženým plněním naloženo (zejm. na jaký bankovní účet má být toto plnění </w:t>
      </w:r>
      <w:r w:rsidR="000933D2" w:rsidRPr="007E6687">
        <w:rPr>
          <w:rFonts w:ascii="Garamond" w:hAnsi="Garamond"/>
          <w:sz w:val="26"/>
          <w:szCs w:val="26"/>
        </w:rPr>
        <w:t>Advokáty</w:t>
      </w:r>
      <w:r w:rsidRPr="007E6687">
        <w:rPr>
          <w:rFonts w:ascii="Garamond" w:hAnsi="Garamond"/>
          <w:sz w:val="26"/>
          <w:szCs w:val="26"/>
        </w:rPr>
        <w:t xml:space="preserve"> postoupeno).</w:t>
      </w:r>
    </w:p>
    <w:p w14:paraId="078B0598" w14:textId="77777777" w:rsidR="008E7381" w:rsidRPr="008E7381" w:rsidRDefault="008E7381" w:rsidP="008E7381">
      <w:pPr>
        <w:pStyle w:val="Odstavecseseznamem"/>
        <w:rPr>
          <w:rFonts w:ascii="Garamond" w:hAnsi="Garamond"/>
          <w:sz w:val="26"/>
          <w:szCs w:val="26"/>
        </w:rPr>
      </w:pPr>
    </w:p>
    <w:p w14:paraId="6E4C7E02" w14:textId="00278ACC" w:rsidR="008E7381" w:rsidRDefault="008E7381" w:rsidP="007E6687">
      <w:pPr>
        <w:pStyle w:val="Odstavecseseznamem"/>
        <w:numPr>
          <w:ilvl w:val="0"/>
          <w:numId w:val="8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Advokáti jsou při poskytování konkrétních Právních služeb s ohledem na jejich povahu oprávněni nechat se zastoupit jiným advokátem, koncipientem či jiným zaměstnancem Advokátů. Za jednání takto zmocněných osob však Advokáti odpovídají, jakoby jednali osobně.</w:t>
      </w:r>
    </w:p>
    <w:p w14:paraId="2BC77A03" w14:textId="77777777" w:rsidR="00407605" w:rsidRPr="00B4279F" w:rsidRDefault="00407605" w:rsidP="00B4279F">
      <w:pPr>
        <w:pStyle w:val="Odstavecseseznamem"/>
        <w:rPr>
          <w:rFonts w:ascii="Garamond" w:hAnsi="Garamond"/>
          <w:sz w:val="26"/>
          <w:szCs w:val="26"/>
        </w:rPr>
      </w:pPr>
    </w:p>
    <w:p w14:paraId="080465F1" w14:textId="1A33120B" w:rsidR="00407605" w:rsidRPr="00B4279F" w:rsidRDefault="00407605">
      <w:pPr>
        <w:pStyle w:val="Odstavecseseznamem"/>
        <w:numPr>
          <w:ilvl w:val="0"/>
          <w:numId w:val="8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Mandant byl poučen o tom, že Advokáti nejsou oprávněni poskytovat Právní služby na Slovensku. V případě, že by v rámci vymáhání Pohledávek bylo třeba </w:t>
      </w:r>
      <w:r w:rsidR="002B2DBE">
        <w:rPr>
          <w:rFonts w:ascii="Garamond" w:hAnsi="Garamond"/>
          <w:sz w:val="26"/>
          <w:szCs w:val="26"/>
        </w:rPr>
        <w:t>poskytnout Mandantovi jakékoliv</w:t>
      </w:r>
      <w:r>
        <w:rPr>
          <w:rFonts w:ascii="Garamond" w:hAnsi="Garamond"/>
          <w:sz w:val="26"/>
          <w:szCs w:val="26"/>
        </w:rPr>
        <w:t xml:space="preserve"> Právní služby na Slovensku, jsou Advokáti za tímto účelem oprávněni zmocnit k zatupování Mandanta s nimi spolupracující slovenskou advokátní kancelář </w:t>
      </w:r>
      <w:r w:rsidRPr="00407605">
        <w:rPr>
          <w:rFonts w:ascii="Garamond" w:hAnsi="Garamond"/>
          <w:sz w:val="26"/>
          <w:szCs w:val="26"/>
        </w:rPr>
        <w:t>Nosko &amp; Partners s. r. o.</w:t>
      </w:r>
      <w:r>
        <w:rPr>
          <w:rFonts w:ascii="Garamond" w:hAnsi="Garamond"/>
          <w:sz w:val="26"/>
          <w:szCs w:val="26"/>
        </w:rPr>
        <w:t xml:space="preserve">, IČO </w:t>
      </w:r>
      <w:r w:rsidRPr="00B4279F">
        <w:rPr>
          <w:rFonts w:ascii="Garamond" w:hAnsi="Garamond"/>
          <w:sz w:val="26"/>
          <w:szCs w:val="26"/>
        </w:rPr>
        <w:t>36860107</w:t>
      </w:r>
      <w:r>
        <w:rPr>
          <w:rFonts w:ascii="Garamond" w:hAnsi="Garamond"/>
          <w:sz w:val="26"/>
          <w:szCs w:val="26"/>
        </w:rPr>
        <w:t xml:space="preserve">, se sídlem </w:t>
      </w:r>
      <w:r w:rsidRPr="00407605">
        <w:rPr>
          <w:rFonts w:ascii="Garamond" w:hAnsi="Garamond"/>
          <w:sz w:val="26"/>
          <w:szCs w:val="26"/>
        </w:rPr>
        <w:t>Podjavorinskej 2</w:t>
      </w:r>
      <w:r>
        <w:rPr>
          <w:rFonts w:ascii="Garamond" w:hAnsi="Garamond"/>
          <w:sz w:val="26"/>
          <w:szCs w:val="26"/>
        </w:rPr>
        <w:t xml:space="preserve">, </w:t>
      </w:r>
      <w:r w:rsidRPr="00B4279F">
        <w:rPr>
          <w:rFonts w:ascii="Garamond" w:hAnsi="Garamond"/>
          <w:sz w:val="26"/>
          <w:szCs w:val="26"/>
        </w:rPr>
        <w:t>Bratislava 811 03</w:t>
      </w:r>
      <w:r>
        <w:rPr>
          <w:rFonts w:ascii="Garamond" w:hAnsi="Garamond"/>
          <w:sz w:val="26"/>
          <w:szCs w:val="26"/>
        </w:rPr>
        <w:t xml:space="preserve">, zaps. v Obchodním registru vedeném Okresním soudem v Bratislavě I pod sp. zn. </w:t>
      </w:r>
      <w:r w:rsidRPr="00407605">
        <w:rPr>
          <w:rFonts w:ascii="Garamond" w:hAnsi="Garamond"/>
          <w:sz w:val="26"/>
          <w:szCs w:val="26"/>
        </w:rPr>
        <w:t>54424/B</w:t>
      </w:r>
      <w:r>
        <w:rPr>
          <w:rFonts w:ascii="Garamond" w:hAnsi="Garamond"/>
          <w:sz w:val="26"/>
          <w:szCs w:val="26"/>
        </w:rPr>
        <w:t xml:space="preserve"> (dále jen </w:t>
      </w:r>
      <w:r>
        <w:rPr>
          <w:rFonts w:ascii="Garamond" w:hAnsi="Garamond"/>
          <w:i/>
          <w:iCs/>
          <w:sz w:val="26"/>
          <w:szCs w:val="26"/>
        </w:rPr>
        <w:t>„</w:t>
      </w:r>
      <w:bookmarkStart w:id="1" w:name="_Hlk58839562"/>
      <w:r>
        <w:rPr>
          <w:rFonts w:ascii="Garamond" w:hAnsi="Garamond"/>
          <w:i/>
          <w:iCs/>
          <w:sz w:val="26"/>
          <w:szCs w:val="26"/>
        </w:rPr>
        <w:t xml:space="preserve">Advokátní kancelář </w:t>
      </w:r>
      <w:r w:rsidRPr="00407605">
        <w:rPr>
          <w:rFonts w:ascii="Garamond" w:hAnsi="Garamond"/>
          <w:i/>
          <w:iCs/>
          <w:sz w:val="26"/>
          <w:szCs w:val="26"/>
        </w:rPr>
        <w:t>Nosko &amp; Partners s. r. o.</w:t>
      </w:r>
      <w:bookmarkEnd w:id="1"/>
      <w:r>
        <w:rPr>
          <w:rFonts w:ascii="Garamond" w:hAnsi="Garamond"/>
          <w:i/>
          <w:iCs/>
          <w:sz w:val="26"/>
          <w:szCs w:val="26"/>
        </w:rPr>
        <w:t>“</w:t>
      </w:r>
      <w:r>
        <w:rPr>
          <w:rFonts w:ascii="Garamond" w:hAnsi="Garamond"/>
          <w:sz w:val="26"/>
          <w:szCs w:val="26"/>
        </w:rPr>
        <w:t>). Advokátům v takovém případě náleží</w:t>
      </w:r>
      <w:r w:rsidR="002B2DBE">
        <w:rPr>
          <w:rFonts w:ascii="Garamond" w:hAnsi="Garamond"/>
          <w:sz w:val="26"/>
          <w:szCs w:val="26"/>
        </w:rPr>
        <w:t xml:space="preserve"> od Mandanta</w:t>
      </w:r>
      <w:r>
        <w:rPr>
          <w:rFonts w:ascii="Garamond" w:hAnsi="Garamond"/>
          <w:sz w:val="26"/>
          <w:szCs w:val="26"/>
        </w:rPr>
        <w:t xml:space="preserve"> odměna za </w:t>
      </w:r>
      <w:r w:rsidR="002B2DBE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 xml:space="preserve">rávní služby poskytnuté </w:t>
      </w:r>
      <w:r w:rsidRPr="00B4279F">
        <w:rPr>
          <w:rFonts w:ascii="Garamond" w:hAnsi="Garamond"/>
          <w:sz w:val="26"/>
          <w:szCs w:val="26"/>
        </w:rPr>
        <w:t>Advokátní kanceláří Nosko &amp; Partners s. r. o.</w:t>
      </w:r>
      <w:r>
        <w:rPr>
          <w:rFonts w:ascii="Garamond" w:hAnsi="Garamond"/>
          <w:sz w:val="26"/>
          <w:szCs w:val="26"/>
        </w:rPr>
        <w:t xml:space="preserve"> ve stejné výši, jakoby </w:t>
      </w:r>
      <w:r w:rsidR="002B2DBE">
        <w:rPr>
          <w:rFonts w:ascii="Garamond" w:hAnsi="Garamond"/>
          <w:sz w:val="26"/>
          <w:szCs w:val="26"/>
        </w:rPr>
        <w:t xml:space="preserve">tyto </w:t>
      </w:r>
      <w:r>
        <w:rPr>
          <w:rFonts w:ascii="Garamond" w:hAnsi="Garamond"/>
          <w:sz w:val="26"/>
          <w:szCs w:val="26"/>
        </w:rPr>
        <w:t>právní služby poskytli Advokáti. Mandant</w:t>
      </w:r>
      <w:r w:rsidR="002B2DBE">
        <w:rPr>
          <w:rFonts w:ascii="Garamond" w:hAnsi="Garamond"/>
          <w:sz w:val="26"/>
          <w:szCs w:val="26"/>
        </w:rPr>
        <w:t>ovi</w:t>
      </w:r>
      <w:r>
        <w:rPr>
          <w:rFonts w:ascii="Garamond" w:hAnsi="Garamond"/>
          <w:sz w:val="26"/>
          <w:szCs w:val="26"/>
        </w:rPr>
        <w:t xml:space="preserve"> však</w:t>
      </w:r>
      <w:r w:rsidR="002B2DBE">
        <w:rPr>
          <w:rFonts w:ascii="Garamond" w:hAnsi="Garamond"/>
          <w:sz w:val="26"/>
          <w:szCs w:val="26"/>
        </w:rPr>
        <w:t xml:space="preserve"> nad povinnost zaplatit Advokátům tuto odměnu již</w:t>
      </w:r>
      <w:r>
        <w:rPr>
          <w:rFonts w:ascii="Garamond" w:hAnsi="Garamond"/>
          <w:sz w:val="26"/>
          <w:szCs w:val="26"/>
        </w:rPr>
        <w:t xml:space="preserve"> ne</w:t>
      </w:r>
      <w:r w:rsidR="002B2DBE">
        <w:rPr>
          <w:rFonts w:ascii="Garamond" w:hAnsi="Garamond"/>
          <w:sz w:val="26"/>
          <w:szCs w:val="26"/>
        </w:rPr>
        <w:t>vznikne</w:t>
      </w:r>
      <w:r>
        <w:rPr>
          <w:rFonts w:ascii="Garamond" w:hAnsi="Garamond"/>
          <w:sz w:val="26"/>
          <w:szCs w:val="26"/>
        </w:rPr>
        <w:t xml:space="preserve"> povinnost hradit </w:t>
      </w:r>
      <w:r w:rsidR="002B2DBE">
        <w:rPr>
          <w:rFonts w:ascii="Garamond" w:hAnsi="Garamond"/>
          <w:sz w:val="26"/>
          <w:szCs w:val="26"/>
        </w:rPr>
        <w:t xml:space="preserve">jakékoliv náklady na Právní služby Advokátní </w:t>
      </w:r>
      <w:r w:rsidR="002B2DBE" w:rsidRPr="00496274">
        <w:rPr>
          <w:rFonts w:ascii="Garamond" w:hAnsi="Garamond"/>
          <w:sz w:val="26"/>
          <w:szCs w:val="26"/>
        </w:rPr>
        <w:t>kancelář</w:t>
      </w:r>
      <w:r w:rsidR="002B2DBE">
        <w:rPr>
          <w:rFonts w:ascii="Garamond" w:hAnsi="Garamond"/>
          <w:sz w:val="26"/>
          <w:szCs w:val="26"/>
        </w:rPr>
        <w:t>e</w:t>
      </w:r>
      <w:r w:rsidR="002B2DBE" w:rsidRPr="00496274">
        <w:rPr>
          <w:rFonts w:ascii="Garamond" w:hAnsi="Garamond"/>
          <w:sz w:val="26"/>
          <w:szCs w:val="26"/>
        </w:rPr>
        <w:t xml:space="preserve"> </w:t>
      </w:r>
      <w:r w:rsidR="002B2DBE" w:rsidRPr="00496274">
        <w:rPr>
          <w:rFonts w:ascii="Garamond" w:hAnsi="Garamond"/>
          <w:sz w:val="26"/>
          <w:szCs w:val="26"/>
        </w:rPr>
        <w:lastRenderedPageBreak/>
        <w:t>Nosko &amp; Partners s. r. o.</w:t>
      </w:r>
      <w:r w:rsidR="002B2DBE">
        <w:rPr>
          <w:rFonts w:ascii="Garamond" w:hAnsi="Garamond"/>
          <w:sz w:val="26"/>
          <w:szCs w:val="26"/>
        </w:rPr>
        <w:t xml:space="preserve">, jelikož tyto náklady nesou Advokáti. V případě, že by </w:t>
      </w:r>
      <w:r w:rsidR="002B2DBE" w:rsidRPr="002B2DBE">
        <w:rPr>
          <w:rFonts w:ascii="Garamond" w:hAnsi="Garamond"/>
          <w:sz w:val="26"/>
          <w:szCs w:val="26"/>
        </w:rPr>
        <w:t>Advokátní kancelář Nosko &amp; Partners s. r. o.</w:t>
      </w:r>
      <w:r w:rsidR="002B2DBE">
        <w:rPr>
          <w:rFonts w:ascii="Garamond" w:hAnsi="Garamond"/>
          <w:sz w:val="26"/>
          <w:szCs w:val="26"/>
        </w:rPr>
        <w:t xml:space="preserve"> (či některý z jejich advokátů či zaměstnanců) potřebovala za účelem poskytnutí Právních služeb na Slovensku vystavit plnou moc přímo od Mandanta, vystaví ji Mandant na základě žádosti Advokátů v přiměřené lhůtě.</w:t>
      </w:r>
    </w:p>
    <w:p w14:paraId="0B556933" w14:textId="77777777" w:rsidR="00352182" w:rsidRPr="007E6687" w:rsidRDefault="00352182" w:rsidP="007E6687">
      <w:pPr>
        <w:spacing w:after="0"/>
        <w:rPr>
          <w:rFonts w:ascii="Garamond" w:hAnsi="Garamond"/>
          <w:sz w:val="26"/>
          <w:szCs w:val="26"/>
        </w:rPr>
      </w:pPr>
    </w:p>
    <w:p w14:paraId="66B1858B" w14:textId="395806E5" w:rsidR="00E73E68" w:rsidRPr="007E6687" w:rsidRDefault="00E73E68" w:rsidP="007E6687">
      <w:pPr>
        <w:spacing w:after="0"/>
        <w:jc w:val="center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I</w:t>
      </w:r>
      <w:r w:rsidR="00863B36" w:rsidRPr="007E6687">
        <w:rPr>
          <w:rFonts w:ascii="Garamond" w:hAnsi="Garamond"/>
          <w:sz w:val="26"/>
          <w:szCs w:val="26"/>
        </w:rPr>
        <w:t>I</w:t>
      </w:r>
      <w:r w:rsidRPr="007E6687">
        <w:rPr>
          <w:rFonts w:ascii="Garamond" w:hAnsi="Garamond"/>
          <w:sz w:val="26"/>
          <w:szCs w:val="26"/>
        </w:rPr>
        <w:t>I.</w:t>
      </w:r>
    </w:p>
    <w:p w14:paraId="435D124B" w14:textId="77777777" w:rsidR="00E73E68" w:rsidRPr="007E6687" w:rsidRDefault="00E73E68" w:rsidP="007E6687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>Povinnost mlčenlivosti</w:t>
      </w:r>
    </w:p>
    <w:p w14:paraId="64939731" w14:textId="77777777" w:rsidR="00E73E68" w:rsidRPr="007E6687" w:rsidRDefault="00E73E68" w:rsidP="007E6687">
      <w:pPr>
        <w:spacing w:after="0"/>
        <w:jc w:val="center"/>
        <w:rPr>
          <w:rFonts w:ascii="Garamond" w:hAnsi="Garamond"/>
          <w:b/>
          <w:sz w:val="26"/>
          <w:szCs w:val="26"/>
        </w:rPr>
      </w:pPr>
    </w:p>
    <w:p w14:paraId="0D1C2BBD" w14:textId="389B053C" w:rsidR="00E73E68" w:rsidRPr="007E6687" w:rsidRDefault="00E73E68" w:rsidP="007E668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Advokáti jsou povinni zachovávat mlčenlivost o všech skutečnostech, o nichž se dozvěděli v souvislosti s poskytováním </w:t>
      </w:r>
      <w:r w:rsidR="000933D2" w:rsidRPr="007E6687">
        <w:rPr>
          <w:rFonts w:ascii="Garamond" w:hAnsi="Garamond"/>
          <w:sz w:val="26"/>
          <w:szCs w:val="26"/>
        </w:rPr>
        <w:t>P</w:t>
      </w:r>
      <w:r w:rsidRPr="007E6687">
        <w:rPr>
          <w:rFonts w:ascii="Garamond" w:hAnsi="Garamond"/>
          <w:sz w:val="26"/>
          <w:szCs w:val="26"/>
        </w:rPr>
        <w:t>rávních služeb.</w:t>
      </w:r>
    </w:p>
    <w:p w14:paraId="2E24AA49" w14:textId="77777777" w:rsidR="000933D2" w:rsidRPr="007E6687" w:rsidRDefault="000933D2" w:rsidP="007E6687">
      <w:pPr>
        <w:pStyle w:val="Odstavecseseznamem"/>
        <w:spacing w:after="0"/>
        <w:ind w:left="360"/>
        <w:jc w:val="both"/>
        <w:rPr>
          <w:rFonts w:ascii="Garamond" w:hAnsi="Garamond"/>
          <w:sz w:val="26"/>
          <w:szCs w:val="26"/>
        </w:rPr>
      </w:pPr>
    </w:p>
    <w:p w14:paraId="3CB13644" w14:textId="20A6365F" w:rsidR="00E73E68" w:rsidRPr="007E6687" w:rsidRDefault="000933D2" w:rsidP="007E668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Mandant tímto za účelem plnění Smlouvy o spolupráci v plném rozsahu zprošťuje Advokáty mlčenlivosti ohledně skutečností, o nichž se dozvěděli v souvislosti s poskytováním Právních služeb, vůči Investičnímu fondu. Vůči ostatním subjektům zůstává tato mlčenlivost v plném rozsahu zachována.</w:t>
      </w:r>
    </w:p>
    <w:p w14:paraId="757B9EF3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4BF0AA95" w14:textId="77777777" w:rsidR="000933D2" w:rsidRPr="007E6687" w:rsidRDefault="00E73E68" w:rsidP="007E668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Advokáti nemají povinnost mlčenlivosti ve vztahu k osobám, které pověřují provedením jednotlivých úkonů </w:t>
      </w:r>
      <w:r w:rsidR="000933D2" w:rsidRPr="007E6687">
        <w:rPr>
          <w:rFonts w:ascii="Garamond" w:hAnsi="Garamond"/>
          <w:sz w:val="26"/>
          <w:szCs w:val="26"/>
        </w:rPr>
        <w:t>P</w:t>
      </w:r>
      <w:r w:rsidRPr="007E6687">
        <w:rPr>
          <w:rFonts w:ascii="Garamond" w:hAnsi="Garamond"/>
          <w:sz w:val="26"/>
          <w:szCs w:val="26"/>
        </w:rPr>
        <w:t>rávních služeb, pokud jsou tyto osoby povinny samy tuto povinnost zachovávat.</w:t>
      </w:r>
    </w:p>
    <w:p w14:paraId="6ACCE194" w14:textId="77777777" w:rsidR="000933D2" w:rsidRPr="007E6687" w:rsidRDefault="000933D2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09096499" w14:textId="32A0E7A1" w:rsidR="000933D2" w:rsidRPr="007E6687" w:rsidRDefault="00E73E68" w:rsidP="007E668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Povinnosti mlčenlivosti </w:t>
      </w:r>
      <w:r w:rsidR="000933D2" w:rsidRPr="007E6687">
        <w:rPr>
          <w:rFonts w:ascii="Garamond" w:hAnsi="Garamond"/>
          <w:sz w:val="26"/>
          <w:szCs w:val="26"/>
        </w:rPr>
        <w:t>A</w:t>
      </w:r>
      <w:r w:rsidRPr="007E6687">
        <w:rPr>
          <w:rFonts w:ascii="Garamond" w:hAnsi="Garamond"/>
          <w:sz w:val="26"/>
          <w:szCs w:val="26"/>
        </w:rPr>
        <w:t xml:space="preserve">dvokátů nejsou dotčeny povinnosti stanovené zvláštními předpisy o správě daní a poplatků, i v tomto případě jsou advokáti povinni zachovávat mlčenlivost o totožnosti </w:t>
      </w:r>
      <w:r w:rsidR="00DA6AC8">
        <w:rPr>
          <w:rFonts w:ascii="Garamond" w:hAnsi="Garamond"/>
          <w:sz w:val="26"/>
          <w:szCs w:val="26"/>
        </w:rPr>
        <w:t>M</w:t>
      </w:r>
      <w:r w:rsidRPr="007E6687">
        <w:rPr>
          <w:rFonts w:ascii="Garamond" w:hAnsi="Garamond"/>
          <w:sz w:val="26"/>
          <w:szCs w:val="26"/>
        </w:rPr>
        <w:t xml:space="preserve">andanta, jakož i o povaze věci, ve které </w:t>
      </w:r>
      <w:r w:rsidR="00DA6AC8">
        <w:rPr>
          <w:rFonts w:ascii="Garamond" w:hAnsi="Garamond"/>
          <w:sz w:val="26"/>
          <w:szCs w:val="26"/>
        </w:rPr>
        <w:t>P</w:t>
      </w:r>
      <w:r w:rsidRPr="007E6687">
        <w:rPr>
          <w:rFonts w:ascii="Garamond" w:hAnsi="Garamond"/>
          <w:sz w:val="26"/>
          <w:szCs w:val="26"/>
        </w:rPr>
        <w:t>rávní služby poskytli či poskytují.</w:t>
      </w:r>
    </w:p>
    <w:p w14:paraId="4865004C" w14:textId="77777777" w:rsidR="000933D2" w:rsidRPr="007E6687" w:rsidRDefault="000933D2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0008C424" w14:textId="77777777" w:rsidR="000933D2" w:rsidRPr="007E6687" w:rsidRDefault="00E73E68" w:rsidP="007E668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Povinnost mlčenlivosti stanovená v předchozích ustanoveních se obdobně vztahuje na zaměstnance </w:t>
      </w:r>
      <w:r w:rsidR="000933D2" w:rsidRPr="007E6687">
        <w:rPr>
          <w:rFonts w:ascii="Garamond" w:hAnsi="Garamond"/>
          <w:sz w:val="26"/>
          <w:szCs w:val="26"/>
        </w:rPr>
        <w:t>A</w:t>
      </w:r>
      <w:r w:rsidRPr="007E6687">
        <w:rPr>
          <w:rFonts w:ascii="Garamond" w:hAnsi="Garamond"/>
          <w:sz w:val="26"/>
          <w:szCs w:val="26"/>
        </w:rPr>
        <w:t xml:space="preserve">dvokátů a jiné osoby, které se podílejí na poskytování </w:t>
      </w:r>
      <w:r w:rsidR="000933D2" w:rsidRPr="007E6687">
        <w:rPr>
          <w:rFonts w:ascii="Garamond" w:hAnsi="Garamond"/>
          <w:sz w:val="26"/>
          <w:szCs w:val="26"/>
        </w:rPr>
        <w:t>P</w:t>
      </w:r>
      <w:r w:rsidRPr="007E6687">
        <w:rPr>
          <w:rFonts w:ascii="Garamond" w:hAnsi="Garamond"/>
          <w:sz w:val="26"/>
          <w:szCs w:val="26"/>
        </w:rPr>
        <w:t>rávních služeb.</w:t>
      </w:r>
    </w:p>
    <w:p w14:paraId="6B5957CA" w14:textId="77777777" w:rsidR="000933D2" w:rsidRPr="007E6687" w:rsidRDefault="000933D2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378DF577" w14:textId="3447F9A7" w:rsidR="00E73E68" w:rsidRDefault="00E73E68" w:rsidP="007E668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Povinnost mlčenlivosti trvá</w:t>
      </w:r>
      <w:r w:rsidR="000933D2" w:rsidRPr="007E6687">
        <w:rPr>
          <w:rFonts w:ascii="Garamond" w:hAnsi="Garamond"/>
          <w:sz w:val="26"/>
          <w:szCs w:val="26"/>
        </w:rPr>
        <w:t xml:space="preserve"> v plném rozsahu</w:t>
      </w:r>
      <w:r w:rsidRPr="007E6687">
        <w:rPr>
          <w:rFonts w:ascii="Garamond" w:hAnsi="Garamond"/>
          <w:sz w:val="26"/>
          <w:szCs w:val="26"/>
        </w:rPr>
        <w:t xml:space="preserve"> i po </w:t>
      </w:r>
      <w:r w:rsidR="000933D2" w:rsidRPr="007E6687">
        <w:rPr>
          <w:rFonts w:ascii="Garamond" w:hAnsi="Garamond"/>
          <w:sz w:val="26"/>
          <w:szCs w:val="26"/>
        </w:rPr>
        <w:t>skončení</w:t>
      </w:r>
      <w:r w:rsidRPr="007E6687">
        <w:rPr>
          <w:rFonts w:ascii="Garamond" w:hAnsi="Garamond"/>
          <w:sz w:val="26"/>
          <w:szCs w:val="26"/>
        </w:rPr>
        <w:t xml:space="preserve"> této </w:t>
      </w:r>
      <w:r w:rsidR="000933D2" w:rsidRPr="007E6687">
        <w:rPr>
          <w:rFonts w:ascii="Garamond" w:hAnsi="Garamond"/>
          <w:sz w:val="26"/>
          <w:szCs w:val="26"/>
        </w:rPr>
        <w:t>S</w:t>
      </w:r>
      <w:r w:rsidRPr="007E6687">
        <w:rPr>
          <w:rFonts w:ascii="Garamond" w:hAnsi="Garamond"/>
          <w:sz w:val="26"/>
          <w:szCs w:val="26"/>
        </w:rPr>
        <w:t>mlouvy.</w:t>
      </w:r>
    </w:p>
    <w:p w14:paraId="0AE7EB85" w14:textId="77777777" w:rsidR="002B2DBE" w:rsidRPr="00B4279F" w:rsidRDefault="002B2DBE" w:rsidP="00B4279F">
      <w:pPr>
        <w:pStyle w:val="Odstavecseseznamem"/>
        <w:rPr>
          <w:rFonts w:ascii="Garamond" w:hAnsi="Garamond"/>
          <w:sz w:val="26"/>
          <w:szCs w:val="26"/>
        </w:rPr>
      </w:pPr>
    </w:p>
    <w:p w14:paraId="48414459" w14:textId="252A4741" w:rsidR="002B2DBE" w:rsidRPr="007E6687" w:rsidRDefault="002B2DBE" w:rsidP="007E668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Advokáti zajistí, že povinnost mlčenlivosti bud</w:t>
      </w:r>
      <w:r w:rsidR="00DC23FA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v plném rozsahu stanoveném touto Smlouvou zachována rovněž </w:t>
      </w:r>
      <w:r w:rsidR="001162D2" w:rsidRPr="00496274">
        <w:rPr>
          <w:rFonts w:ascii="Garamond" w:hAnsi="Garamond"/>
          <w:sz w:val="26"/>
          <w:szCs w:val="26"/>
        </w:rPr>
        <w:t>Advokátní kanceláří Nosko &amp; Partners s. r. o.</w:t>
      </w:r>
      <w:r w:rsidR="002E3C1F" w:rsidRPr="002E3C1F">
        <w:rPr>
          <w:rFonts w:ascii="Garamond" w:hAnsi="Garamond"/>
          <w:sz w:val="26"/>
          <w:szCs w:val="26"/>
        </w:rPr>
        <w:t xml:space="preserve"> </w:t>
      </w:r>
      <w:r w:rsidR="002E3C1F">
        <w:rPr>
          <w:rFonts w:ascii="Garamond" w:hAnsi="Garamond"/>
          <w:sz w:val="26"/>
          <w:szCs w:val="26"/>
        </w:rPr>
        <w:t xml:space="preserve">, pokud by poskytovala Právní služby dle čl. II. odst. 7 této </w:t>
      </w:r>
      <w:r w:rsidR="00DC23FA">
        <w:rPr>
          <w:rFonts w:ascii="Garamond" w:hAnsi="Garamond"/>
          <w:sz w:val="26"/>
          <w:szCs w:val="26"/>
        </w:rPr>
        <w:t>S</w:t>
      </w:r>
      <w:r w:rsidR="002E3C1F">
        <w:rPr>
          <w:rFonts w:ascii="Garamond" w:hAnsi="Garamond"/>
          <w:sz w:val="26"/>
          <w:szCs w:val="26"/>
        </w:rPr>
        <w:t>mlouvy.</w:t>
      </w:r>
    </w:p>
    <w:p w14:paraId="390A0548" w14:textId="1CCDDF0F" w:rsidR="00352182" w:rsidRDefault="00352182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20F2FEEB" w14:textId="77777777" w:rsidR="00DC23FA" w:rsidRPr="007E6687" w:rsidRDefault="00DC23FA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50797B70" w14:textId="4E6D58B3" w:rsidR="00E73E68" w:rsidRPr="007E6687" w:rsidRDefault="00E73E68" w:rsidP="007E6687">
      <w:pPr>
        <w:spacing w:after="0"/>
        <w:jc w:val="center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lastRenderedPageBreak/>
        <w:t>I</w:t>
      </w:r>
      <w:r w:rsidR="00863B36" w:rsidRPr="007E6687">
        <w:rPr>
          <w:rFonts w:ascii="Garamond" w:hAnsi="Garamond"/>
          <w:sz w:val="26"/>
          <w:szCs w:val="26"/>
        </w:rPr>
        <w:t>V</w:t>
      </w:r>
      <w:r w:rsidRPr="007E6687">
        <w:rPr>
          <w:rFonts w:ascii="Garamond" w:hAnsi="Garamond"/>
          <w:sz w:val="26"/>
          <w:szCs w:val="26"/>
        </w:rPr>
        <w:t>.</w:t>
      </w:r>
    </w:p>
    <w:p w14:paraId="5F81612F" w14:textId="77777777" w:rsidR="00E73E68" w:rsidRPr="007E6687" w:rsidRDefault="00E73E68" w:rsidP="007E6687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>Odměna za poskytování právních služeb</w:t>
      </w:r>
    </w:p>
    <w:p w14:paraId="68EAE3D2" w14:textId="77777777" w:rsidR="008D698E" w:rsidRPr="007E6687" w:rsidRDefault="008D698E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3931DC6E" w14:textId="1D38AEED" w:rsidR="008D698E" w:rsidRPr="007E6687" w:rsidRDefault="008D698E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Smluvní strany se dohodly, že Advokátům za poskytování Právních služeb náleží odměna z vymoženého plnění (tzv. success fee, dále jen </w:t>
      </w:r>
      <w:r w:rsidRPr="007E6687">
        <w:rPr>
          <w:rFonts w:ascii="Garamond" w:hAnsi="Garamond"/>
          <w:i/>
          <w:iCs/>
          <w:sz w:val="26"/>
          <w:szCs w:val="26"/>
        </w:rPr>
        <w:t>„Odměna z vymoženého plnění“</w:t>
      </w:r>
      <w:r w:rsidRPr="007E6687">
        <w:rPr>
          <w:rFonts w:ascii="Garamond" w:hAnsi="Garamond"/>
          <w:sz w:val="26"/>
          <w:szCs w:val="26"/>
        </w:rPr>
        <w:t xml:space="preserve">) ve výši </w:t>
      </w:r>
      <w:r w:rsidR="00DC23FA">
        <w:rPr>
          <w:rFonts w:ascii="Garamond" w:hAnsi="Garamond"/>
          <w:sz w:val="26"/>
          <w:szCs w:val="26"/>
        </w:rPr>
        <w:t>pěti</w:t>
      </w:r>
      <w:r w:rsidR="00977D04">
        <w:rPr>
          <w:rFonts w:ascii="Garamond" w:hAnsi="Garamond"/>
          <w:sz w:val="26"/>
          <w:szCs w:val="26"/>
        </w:rPr>
        <w:t xml:space="preserve"> procent (</w:t>
      </w:r>
      <w:r w:rsidR="00407605">
        <w:rPr>
          <w:rFonts w:ascii="Garamond" w:hAnsi="Garamond"/>
          <w:sz w:val="26"/>
          <w:szCs w:val="26"/>
        </w:rPr>
        <w:t>5</w:t>
      </w:r>
      <w:r w:rsidR="00407605" w:rsidRPr="007E6687">
        <w:rPr>
          <w:rFonts w:ascii="Garamond" w:hAnsi="Garamond"/>
          <w:sz w:val="26"/>
          <w:szCs w:val="26"/>
        </w:rPr>
        <w:t xml:space="preserve"> </w:t>
      </w:r>
      <w:r w:rsidRPr="007E6687">
        <w:rPr>
          <w:rFonts w:ascii="Garamond" w:hAnsi="Garamond"/>
          <w:sz w:val="26"/>
          <w:szCs w:val="26"/>
        </w:rPr>
        <w:t>%</w:t>
      </w:r>
      <w:r w:rsidR="00977D04">
        <w:rPr>
          <w:rFonts w:ascii="Garamond" w:hAnsi="Garamond"/>
          <w:sz w:val="26"/>
          <w:szCs w:val="26"/>
        </w:rPr>
        <w:t>)</w:t>
      </w:r>
      <w:r w:rsidRPr="007E6687">
        <w:rPr>
          <w:rFonts w:ascii="Garamond" w:hAnsi="Garamond"/>
          <w:sz w:val="26"/>
          <w:szCs w:val="26"/>
        </w:rPr>
        <w:t xml:space="preserve"> z veškerého plnění, které Advokáti na Pohledávku vymůžou plus DPH.  </w:t>
      </w:r>
    </w:p>
    <w:p w14:paraId="46289782" w14:textId="77777777" w:rsidR="008D698E" w:rsidRPr="007E6687" w:rsidRDefault="008D698E" w:rsidP="007E6687">
      <w:pPr>
        <w:pStyle w:val="Odstavecseseznamem"/>
        <w:spacing w:after="0"/>
        <w:ind w:left="360"/>
        <w:jc w:val="both"/>
        <w:rPr>
          <w:rFonts w:ascii="Garamond" w:hAnsi="Garamond"/>
          <w:sz w:val="26"/>
          <w:szCs w:val="26"/>
        </w:rPr>
      </w:pPr>
    </w:p>
    <w:p w14:paraId="71FBE8D8" w14:textId="08C2A175" w:rsidR="008D698E" w:rsidRPr="007E6687" w:rsidRDefault="008D698E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Odměna z vymoženého plnění se stává splatnou dnem, kdy Advokáti příslušné plnění (ze kterého jim tato odměna náleží) obdrží na svůj bankovní účet nebo v den, kdy jim bude umožněno jinak s tímto plněním bez omezení disponovat. </w:t>
      </w:r>
    </w:p>
    <w:p w14:paraId="20921E65" w14:textId="77777777" w:rsidR="008D698E" w:rsidRPr="007E6687" w:rsidRDefault="008D698E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5036FE3C" w14:textId="77777777" w:rsidR="00863B36" w:rsidRPr="007E6687" w:rsidRDefault="008D698E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Smluvní strany se dohodly na způsobu úhrady Odměny z vymoženého plnění tak, že Advokáti o výši Odměny z vymoženého plnění včetně DPH poníží částku, se kterou budou jinak nakládat dle ustanovení čl. II. odst. 6. této Smlouvy. Mandant výslovně souhlasí s tím, aby si Advokáti za účelem úhrady Odměny z vymoženého plnění odpovídající část plnění na Pohledávku ponechali, přičemž tento svůj souhlas Mandant není oprávněn vzít jednostranně za trvání této Smlouvy zpět.</w:t>
      </w:r>
    </w:p>
    <w:p w14:paraId="68C43204" w14:textId="77777777" w:rsidR="00863B36" w:rsidRPr="007E6687" w:rsidRDefault="00863B36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2DB8AB58" w14:textId="199435CE" w:rsidR="008D698E" w:rsidRPr="007E6687" w:rsidRDefault="00863B36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Smluvní strany se dohodly, že v případě, že Mandant jednostranně předčasně (tj. před skončením této Smlouvy dle</w:t>
      </w:r>
      <w:r w:rsidR="007E6687">
        <w:rPr>
          <w:rFonts w:ascii="Garamond" w:hAnsi="Garamond"/>
          <w:sz w:val="26"/>
          <w:szCs w:val="26"/>
        </w:rPr>
        <w:t xml:space="preserve"> jejího</w:t>
      </w:r>
      <w:r w:rsidRPr="007E6687">
        <w:rPr>
          <w:rFonts w:ascii="Garamond" w:hAnsi="Garamond"/>
          <w:sz w:val="26"/>
          <w:szCs w:val="26"/>
        </w:rPr>
        <w:t xml:space="preserve"> čl. </w:t>
      </w:r>
      <w:r w:rsidR="007E6687">
        <w:rPr>
          <w:rFonts w:ascii="Garamond" w:hAnsi="Garamond"/>
          <w:sz w:val="26"/>
          <w:szCs w:val="26"/>
        </w:rPr>
        <w:t>V. odst. 2.</w:t>
      </w:r>
      <w:r w:rsidRPr="007E6687">
        <w:rPr>
          <w:rFonts w:ascii="Garamond" w:hAnsi="Garamond"/>
          <w:sz w:val="26"/>
          <w:szCs w:val="26"/>
        </w:rPr>
        <w:t>) vypoví či jinak předčasně ukončí tuto Smlouvu nebo kteroukoliv z udělených plných mocí</w:t>
      </w:r>
      <w:r w:rsidR="007E6687">
        <w:rPr>
          <w:rFonts w:ascii="Garamond" w:hAnsi="Garamond"/>
          <w:sz w:val="26"/>
          <w:szCs w:val="26"/>
        </w:rPr>
        <w:t>, kterou Advokáti potřebují pro poskytování Právních služeb</w:t>
      </w:r>
      <w:r w:rsidRPr="007E6687">
        <w:rPr>
          <w:rFonts w:ascii="Garamond" w:hAnsi="Garamond"/>
          <w:sz w:val="26"/>
          <w:szCs w:val="26"/>
        </w:rPr>
        <w:t xml:space="preserve">, náleží Advokátům vedle již případně obdržené Odměny z vymoženého plnění rovněž odměna za každý úkon poskytnutých Právních služeb (dále jen </w:t>
      </w:r>
      <w:r w:rsidRPr="007E6687">
        <w:rPr>
          <w:rFonts w:ascii="Garamond" w:hAnsi="Garamond"/>
          <w:i/>
          <w:iCs/>
          <w:sz w:val="26"/>
          <w:szCs w:val="26"/>
        </w:rPr>
        <w:t>„Tarifní odměna“</w:t>
      </w:r>
      <w:r w:rsidRPr="007E6687">
        <w:rPr>
          <w:rFonts w:ascii="Garamond" w:hAnsi="Garamond"/>
          <w:sz w:val="26"/>
          <w:szCs w:val="26"/>
        </w:rPr>
        <w:t>) ve výši dle Vyhlášky Ministerstva spravedlnosti č. 177/1996 Sb., o odměnách advokátů a náhradách advokátů za poskytování právních služeb (advokátní tarif), v aktuálním znění, a to včetně příslušného počtu režijních paušálů plus DPH.</w:t>
      </w:r>
    </w:p>
    <w:p w14:paraId="3CD779A9" w14:textId="77777777" w:rsidR="00863B36" w:rsidRPr="007E6687" w:rsidRDefault="00863B36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4ED42D37" w14:textId="36D3DB05" w:rsidR="00863B36" w:rsidRPr="007E6687" w:rsidRDefault="00863B36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Tarifní odměna se stává splatnou patnáct (15) </w:t>
      </w:r>
      <w:r w:rsidR="00924F48">
        <w:rPr>
          <w:rFonts w:ascii="Garamond" w:hAnsi="Garamond"/>
          <w:sz w:val="26"/>
          <w:szCs w:val="26"/>
        </w:rPr>
        <w:t xml:space="preserve">pracovních </w:t>
      </w:r>
      <w:r w:rsidRPr="007E6687">
        <w:rPr>
          <w:rFonts w:ascii="Garamond" w:hAnsi="Garamond"/>
          <w:sz w:val="26"/>
          <w:szCs w:val="26"/>
        </w:rPr>
        <w:t>dn</w:t>
      </w:r>
      <w:r w:rsidR="00924F48">
        <w:rPr>
          <w:rFonts w:ascii="Garamond" w:hAnsi="Garamond"/>
          <w:sz w:val="26"/>
          <w:szCs w:val="26"/>
        </w:rPr>
        <w:t>ů</w:t>
      </w:r>
      <w:r w:rsidRPr="007E6687">
        <w:rPr>
          <w:rFonts w:ascii="Garamond" w:hAnsi="Garamond"/>
          <w:sz w:val="26"/>
          <w:szCs w:val="26"/>
        </w:rPr>
        <w:t xml:space="preserve"> po dni, kdy dojde k předčasnému vypovězení nebo jinému předčasnému ukončení této Smlouvy </w:t>
      </w:r>
      <w:r w:rsidR="00977D04">
        <w:rPr>
          <w:rFonts w:ascii="Garamond" w:hAnsi="Garamond"/>
          <w:sz w:val="26"/>
          <w:szCs w:val="26"/>
        </w:rPr>
        <w:t xml:space="preserve">nebo některé z plných mocí </w:t>
      </w:r>
      <w:r w:rsidRPr="007E6687">
        <w:rPr>
          <w:rFonts w:ascii="Garamond" w:hAnsi="Garamond"/>
          <w:sz w:val="26"/>
          <w:szCs w:val="26"/>
        </w:rPr>
        <w:t xml:space="preserve">ve smyslu předchozího ustanovení této Smlouvy. </w:t>
      </w:r>
    </w:p>
    <w:p w14:paraId="06993FCA" w14:textId="459FFAB6" w:rsidR="008D698E" w:rsidRPr="007E6687" w:rsidRDefault="008D698E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49FFE9CF" w14:textId="6302DEBB" w:rsidR="002C6666" w:rsidRPr="007E6687" w:rsidRDefault="00863B36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Právo na Tarifní odměnu Advokátům však nevzniká v případě, že Mandant od této Smlouvy odstoupí z některého ze zákonných důvodu uvedených v zákoně č. 89/2012 Sb., občanský zákoník, v aktuálním znění (dále jen </w:t>
      </w:r>
      <w:r w:rsidRPr="007E6687">
        <w:rPr>
          <w:rFonts w:ascii="Garamond" w:hAnsi="Garamond"/>
          <w:i/>
          <w:iCs/>
          <w:sz w:val="26"/>
          <w:szCs w:val="26"/>
        </w:rPr>
        <w:t>„Občanský zákoník“</w:t>
      </w:r>
      <w:r w:rsidRPr="007E6687">
        <w:rPr>
          <w:rFonts w:ascii="Garamond" w:hAnsi="Garamond"/>
          <w:sz w:val="26"/>
          <w:szCs w:val="26"/>
        </w:rPr>
        <w:t>)</w:t>
      </w:r>
      <w:r w:rsidR="00407605">
        <w:rPr>
          <w:rFonts w:ascii="Garamond" w:hAnsi="Garamond"/>
          <w:sz w:val="26"/>
          <w:szCs w:val="26"/>
        </w:rPr>
        <w:t>.</w:t>
      </w:r>
      <w:r w:rsidRPr="007E6687">
        <w:rPr>
          <w:rFonts w:ascii="Garamond" w:hAnsi="Garamond"/>
          <w:sz w:val="26"/>
          <w:szCs w:val="26"/>
        </w:rPr>
        <w:t xml:space="preserve"> </w:t>
      </w:r>
    </w:p>
    <w:p w14:paraId="79B98682" w14:textId="77777777" w:rsidR="002C6666" w:rsidRPr="007E6687" w:rsidRDefault="002C6666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23FD729B" w14:textId="659EA622" w:rsidR="00E73E68" w:rsidRDefault="002C6666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Smluvní strany </w:t>
      </w:r>
      <w:r w:rsidR="00E73E68" w:rsidRPr="007E6687">
        <w:rPr>
          <w:rFonts w:ascii="Garamond" w:hAnsi="Garamond"/>
          <w:sz w:val="26"/>
          <w:szCs w:val="26"/>
        </w:rPr>
        <w:t>se dále dohodl</w:t>
      </w:r>
      <w:r w:rsidRPr="007E6687">
        <w:rPr>
          <w:rFonts w:ascii="Garamond" w:hAnsi="Garamond"/>
          <w:sz w:val="26"/>
          <w:szCs w:val="26"/>
        </w:rPr>
        <w:t>y</w:t>
      </w:r>
      <w:r w:rsidR="00E73E68" w:rsidRPr="007E6687">
        <w:rPr>
          <w:rFonts w:ascii="Garamond" w:hAnsi="Garamond"/>
          <w:sz w:val="26"/>
          <w:szCs w:val="26"/>
        </w:rPr>
        <w:t xml:space="preserve">, že v případě </w:t>
      </w:r>
      <w:r w:rsidRPr="007E6687">
        <w:rPr>
          <w:rFonts w:ascii="Garamond" w:hAnsi="Garamond"/>
          <w:sz w:val="26"/>
          <w:szCs w:val="26"/>
        </w:rPr>
        <w:t xml:space="preserve">že v souvislosti s některým řízením, které bude Advokáty vedeno v rámci poskytování Právních služeb, bude Mandantovi přiznána náhrada nákladů řízení a tato náhrada bude ve výši přesahující do té doby zaplacenou Odměnu z vymoženého plnění, náleží tato přesahující část náhrady nákladů řízení (tj. část přesahující do té doby zaplacenou Odměnu z vymoženého plnění) Advokátům. </w:t>
      </w:r>
    </w:p>
    <w:p w14:paraId="60F67A2A" w14:textId="77777777" w:rsidR="00FA310E" w:rsidRPr="00FA310E" w:rsidRDefault="00FA310E" w:rsidP="00FA310E">
      <w:pPr>
        <w:pStyle w:val="Odstavecseseznamem"/>
        <w:rPr>
          <w:rFonts w:ascii="Garamond" w:hAnsi="Garamond"/>
          <w:sz w:val="26"/>
          <w:szCs w:val="26"/>
        </w:rPr>
      </w:pPr>
    </w:p>
    <w:p w14:paraId="12584FB4" w14:textId="1C29E85D" w:rsidR="00FA310E" w:rsidRPr="007E6687" w:rsidRDefault="00FA310E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Smluvní strany se dohodly, že Mandant uhradí Advokátní kanceláři zálohu na odměnu za poskytování právních služeb, která bude činit částku odpovídající 1 % z jistiny Pohledávky, maximálně však bude činit částku ve výši 100.000 Kč (dále jen </w:t>
      </w:r>
      <w:r>
        <w:rPr>
          <w:rFonts w:ascii="Garamond" w:hAnsi="Garamond"/>
          <w:i/>
          <w:iCs/>
          <w:sz w:val="26"/>
          <w:szCs w:val="26"/>
        </w:rPr>
        <w:t>„Záloha“</w:t>
      </w:r>
      <w:r>
        <w:rPr>
          <w:rFonts w:ascii="Garamond" w:hAnsi="Garamond"/>
          <w:sz w:val="26"/>
          <w:szCs w:val="26"/>
        </w:rPr>
        <w:t xml:space="preserve">). Zálohu se Mandant zavazuje uhradit bezhotovostním převodem částky odpovídající Záloze na účet Advokátní kanceláře č. </w:t>
      </w:r>
      <w:r w:rsidRPr="00FA310E">
        <w:rPr>
          <w:rFonts w:ascii="Garamond" w:hAnsi="Garamond"/>
          <w:sz w:val="26"/>
          <w:szCs w:val="26"/>
        </w:rPr>
        <w:t>300088868/2700, vedený u UniCredit Bank Czech Republic and Slovakia, a.s.</w:t>
      </w:r>
      <w:r>
        <w:rPr>
          <w:rFonts w:ascii="Garamond" w:hAnsi="Garamond"/>
          <w:sz w:val="26"/>
          <w:szCs w:val="26"/>
        </w:rPr>
        <w:t xml:space="preserve"> s uvedením variabilního symbolu </w:t>
      </w:r>
      <w:r w:rsidRPr="00FA310E">
        <w:rPr>
          <w:rFonts w:ascii="Garamond" w:hAnsi="Garamond"/>
          <w:sz w:val="26"/>
          <w:szCs w:val="26"/>
        </w:rPr>
        <w:t>35975041</w:t>
      </w:r>
      <w:r>
        <w:rPr>
          <w:rFonts w:ascii="Garamond" w:hAnsi="Garamond"/>
          <w:sz w:val="26"/>
          <w:szCs w:val="26"/>
        </w:rPr>
        <w:t xml:space="preserve">, a to do pěti </w:t>
      </w:r>
      <w:r w:rsidR="0097497B">
        <w:rPr>
          <w:rFonts w:ascii="Garamond" w:hAnsi="Garamond"/>
          <w:sz w:val="26"/>
          <w:szCs w:val="26"/>
        </w:rPr>
        <w:t xml:space="preserve">(5) </w:t>
      </w:r>
      <w:r w:rsidR="00924F48">
        <w:rPr>
          <w:rFonts w:ascii="Garamond" w:hAnsi="Garamond"/>
          <w:sz w:val="26"/>
          <w:szCs w:val="26"/>
        </w:rPr>
        <w:t xml:space="preserve">pracovních </w:t>
      </w:r>
      <w:r>
        <w:rPr>
          <w:rFonts w:ascii="Garamond" w:hAnsi="Garamond"/>
          <w:sz w:val="26"/>
          <w:szCs w:val="26"/>
        </w:rPr>
        <w:t xml:space="preserve">dnů ode dne uzavření této Smlouvy. Záloha bude použita na úhradu Odměny z vymoženého plnění </w:t>
      </w:r>
      <w:r w:rsidR="0097497B">
        <w:rPr>
          <w:rFonts w:ascii="Garamond" w:hAnsi="Garamond"/>
          <w:sz w:val="26"/>
          <w:szCs w:val="26"/>
        </w:rPr>
        <w:t xml:space="preserve">a / </w:t>
      </w:r>
      <w:r>
        <w:rPr>
          <w:rFonts w:ascii="Garamond" w:hAnsi="Garamond"/>
          <w:sz w:val="26"/>
          <w:szCs w:val="26"/>
        </w:rPr>
        <w:t xml:space="preserve">nebo Tarifní odměny. </w:t>
      </w:r>
      <w:r w:rsidR="0097497B">
        <w:rPr>
          <w:rFonts w:ascii="Garamond" w:hAnsi="Garamond"/>
          <w:sz w:val="26"/>
          <w:szCs w:val="26"/>
        </w:rPr>
        <w:t>V případě, že dojde k ukončení smluvního vztahu založeného touto Smlouvou a součet Odměny z vymoženého plnění a Tarifní odměny bude nižší, než uhrazená Záloha, vrátí Advokátní kancelář zbývající část Zálohy (tj. Zálohu po odečtení Odměny z vymoženého plnění a / nebo Tarifní odměny) zpět Mandantovi, a to do patnácti (15)</w:t>
      </w:r>
      <w:r w:rsidR="00924F48">
        <w:rPr>
          <w:rFonts w:ascii="Garamond" w:hAnsi="Garamond"/>
          <w:sz w:val="26"/>
          <w:szCs w:val="26"/>
        </w:rPr>
        <w:t xml:space="preserve"> pracovních</w:t>
      </w:r>
      <w:r w:rsidR="0097497B">
        <w:rPr>
          <w:rFonts w:ascii="Garamond" w:hAnsi="Garamond"/>
          <w:sz w:val="26"/>
          <w:szCs w:val="26"/>
        </w:rPr>
        <w:t xml:space="preserve"> dnů ode dne, kdy dojde k ukončení smluvního vztahu založeného touto Smlouvou. </w:t>
      </w:r>
    </w:p>
    <w:p w14:paraId="7C767E57" w14:textId="77777777" w:rsidR="002C6666" w:rsidRPr="007E6687" w:rsidRDefault="002C6666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394A8FAC" w14:textId="7C41B07D" w:rsidR="002C6666" w:rsidRPr="007E6687" w:rsidRDefault="002C6666" w:rsidP="007E6687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K jakékoliv odměně, která náleží Advokátům dle této Smlouvy, vystaví Advokáti Mandantovi řádný daňový doklad. </w:t>
      </w:r>
    </w:p>
    <w:p w14:paraId="3F066CB6" w14:textId="77777777" w:rsidR="00352182" w:rsidRPr="007E6687" w:rsidRDefault="00352182" w:rsidP="007E6687">
      <w:pPr>
        <w:spacing w:after="0"/>
        <w:jc w:val="both"/>
        <w:rPr>
          <w:rFonts w:ascii="Garamond" w:hAnsi="Garamond"/>
          <w:sz w:val="26"/>
          <w:szCs w:val="26"/>
          <w:highlight w:val="yellow"/>
        </w:rPr>
      </w:pPr>
    </w:p>
    <w:p w14:paraId="74854F71" w14:textId="324198EB" w:rsidR="00E73E68" w:rsidRPr="007E6687" w:rsidRDefault="00E73E68" w:rsidP="007E6687">
      <w:pPr>
        <w:spacing w:after="0"/>
        <w:jc w:val="center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V.</w:t>
      </w:r>
    </w:p>
    <w:p w14:paraId="39458D46" w14:textId="44481E37" w:rsidR="00E73E68" w:rsidRPr="007E6687" w:rsidRDefault="00E73E68" w:rsidP="007E6687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 xml:space="preserve">Doba trvání </w:t>
      </w:r>
      <w:r w:rsidR="00DC23FA">
        <w:rPr>
          <w:rFonts w:ascii="Garamond" w:hAnsi="Garamond"/>
          <w:b/>
          <w:sz w:val="26"/>
          <w:szCs w:val="26"/>
        </w:rPr>
        <w:t>S</w:t>
      </w:r>
      <w:r w:rsidRPr="007E6687">
        <w:rPr>
          <w:rFonts w:ascii="Garamond" w:hAnsi="Garamond"/>
          <w:b/>
          <w:sz w:val="26"/>
          <w:szCs w:val="26"/>
        </w:rPr>
        <w:t>mlouvy</w:t>
      </w:r>
    </w:p>
    <w:p w14:paraId="370FF112" w14:textId="77777777" w:rsidR="007E6687" w:rsidRPr="007E6687" w:rsidRDefault="007E6687" w:rsidP="007E6687">
      <w:pPr>
        <w:pStyle w:val="Default"/>
        <w:spacing w:line="276" w:lineRule="auto"/>
        <w:rPr>
          <w:rFonts w:ascii="Garamond" w:hAnsi="Garamond"/>
          <w:color w:val="auto"/>
          <w:sz w:val="26"/>
          <w:szCs w:val="26"/>
        </w:rPr>
      </w:pPr>
    </w:p>
    <w:p w14:paraId="79A0157B" w14:textId="77777777" w:rsidR="007E6687" w:rsidRPr="007E6687" w:rsidRDefault="007E6687" w:rsidP="007E6687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7E6687">
        <w:rPr>
          <w:rFonts w:ascii="Garamond" w:hAnsi="Garamond"/>
          <w:color w:val="auto"/>
          <w:sz w:val="26"/>
          <w:szCs w:val="26"/>
        </w:rPr>
        <w:t>Tato Smlouva nabývá platnosti a účinnosti dnem podpisu poslední ze Smluvních stran.</w:t>
      </w:r>
    </w:p>
    <w:p w14:paraId="5E21ABF9" w14:textId="77777777" w:rsidR="007E6687" w:rsidRPr="007E6687" w:rsidRDefault="007E6687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35453487" w14:textId="77777777" w:rsidR="00977D04" w:rsidRDefault="007E6687" w:rsidP="007E6687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7E6687">
        <w:rPr>
          <w:rFonts w:ascii="Garamond" w:hAnsi="Garamond"/>
          <w:color w:val="auto"/>
          <w:sz w:val="26"/>
          <w:szCs w:val="26"/>
        </w:rPr>
        <w:t>Tato Smlouva se uzavírá na dobu určitou, a to do okamžiku, kdy dojde k</w:t>
      </w:r>
      <w:r w:rsidR="00977D04">
        <w:rPr>
          <w:rFonts w:ascii="Garamond" w:hAnsi="Garamond"/>
          <w:color w:val="auto"/>
          <w:sz w:val="26"/>
          <w:szCs w:val="26"/>
        </w:rPr>
        <w:t> pozdější z těchto skutečností:</w:t>
      </w:r>
    </w:p>
    <w:p w14:paraId="5B8FF9D9" w14:textId="28C65FEF" w:rsidR="007E6687" w:rsidRDefault="007E6687" w:rsidP="00977D04">
      <w:pPr>
        <w:pStyle w:val="Default"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7E6687">
        <w:rPr>
          <w:rFonts w:ascii="Garamond" w:hAnsi="Garamond"/>
          <w:color w:val="auto"/>
          <w:sz w:val="26"/>
          <w:szCs w:val="26"/>
        </w:rPr>
        <w:t xml:space="preserve">úplnému zániku celé Pohledávky, s výjimkou zániku Pohledávky, který nastane v důsledku účinnosti reorganizačního plánu dle ustanovení § 356 zákona č. 182/2006 Sb., insolvenční zákona, v aktuálním znění, kdy v takovém případě tato </w:t>
      </w:r>
      <w:r w:rsidRPr="007E6687">
        <w:rPr>
          <w:rFonts w:ascii="Garamond" w:hAnsi="Garamond"/>
          <w:color w:val="auto"/>
          <w:sz w:val="26"/>
          <w:szCs w:val="26"/>
        </w:rPr>
        <w:lastRenderedPageBreak/>
        <w:t>Smlouva trvá až do zániku všech práv a pohledávek, které budou Mandantovi náležet dle reorganizačního plánu</w:t>
      </w:r>
      <w:r w:rsidR="00977D04">
        <w:rPr>
          <w:rFonts w:ascii="Garamond" w:hAnsi="Garamond"/>
          <w:color w:val="auto"/>
          <w:sz w:val="26"/>
          <w:szCs w:val="26"/>
        </w:rPr>
        <w:t>;</w:t>
      </w:r>
    </w:p>
    <w:p w14:paraId="5D5B1E14" w14:textId="7B28763F" w:rsidR="00977D04" w:rsidRPr="007E6687" w:rsidRDefault="00977D04" w:rsidP="00977D04">
      <w:pPr>
        <w:pStyle w:val="Default"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</w:rPr>
        <w:t>k vypořádání všech vzájemných práv a povinností Smluvních stran vyplývajících z této Smlouvy, zejména těch, které jsou uvedeny v čl. II. odst. 6 a v čl. IV. této Smlouvy.</w:t>
      </w:r>
    </w:p>
    <w:p w14:paraId="4A6F5078" w14:textId="77777777" w:rsidR="007E6687" w:rsidRPr="007E6687" w:rsidRDefault="007E6687" w:rsidP="007E6687">
      <w:pPr>
        <w:pStyle w:val="Default"/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</w:p>
    <w:p w14:paraId="666A1DFB" w14:textId="2C5CF85A" w:rsidR="007E6687" w:rsidRPr="007E6687" w:rsidRDefault="007E6687" w:rsidP="00977D04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7E6687">
        <w:rPr>
          <w:rFonts w:ascii="Garamond" w:hAnsi="Garamond"/>
          <w:color w:val="auto"/>
          <w:sz w:val="26"/>
          <w:szCs w:val="26"/>
        </w:rPr>
        <w:t xml:space="preserve">Účinnost této Smlouvy lze ukončit písemnou dohodou Smluvních stran k datu uvedenému v takové dohodě. </w:t>
      </w:r>
    </w:p>
    <w:p w14:paraId="7C797D15" w14:textId="77777777" w:rsidR="007E6687" w:rsidRPr="007E6687" w:rsidRDefault="007E6687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067C2547" w14:textId="40D12794" w:rsidR="00977D04" w:rsidRDefault="007E6687" w:rsidP="00977D04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</w:rPr>
        <w:t xml:space="preserve">Obě </w:t>
      </w:r>
      <w:r w:rsidR="00DC23FA">
        <w:rPr>
          <w:rFonts w:ascii="Garamond" w:hAnsi="Garamond"/>
          <w:color w:val="auto"/>
          <w:sz w:val="26"/>
          <w:szCs w:val="26"/>
        </w:rPr>
        <w:t>S</w:t>
      </w:r>
      <w:r>
        <w:rPr>
          <w:rFonts w:ascii="Garamond" w:hAnsi="Garamond"/>
          <w:color w:val="auto"/>
          <w:sz w:val="26"/>
          <w:szCs w:val="26"/>
        </w:rPr>
        <w:t xml:space="preserve">mluvní strany jsou oprávněny tuto </w:t>
      </w:r>
      <w:r w:rsidR="00DC23FA">
        <w:rPr>
          <w:rFonts w:ascii="Garamond" w:hAnsi="Garamond"/>
          <w:color w:val="auto"/>
          <w:sz w:val="26"/>
          <w:szCs w:val="26"/>
        </w:rPr>
        <w:t>S</w:t>
      </w:r>
      <w:r>
        <w:rPr>
          <w:rFonts w:ascii="Garamond" w:hAnsi="Garamond"/>
          <w:color w:val="auto"/>
          <w:sz w:val="26"/>
          <w:szCs w:val="26"/>
        </w:rPr>
        <w:t>mlouvu vypovědět s výpovědní dobou tří (3) měsíců ode dne, kdy je výpověď doručena druhé Smluvní straně.</w:t>
      </w:r>
    </w:p>
    <w:p w14:paraId="63AEB695" w14:textId="77777777" w:rsidR="00977D04" w:rsidRDefault="00977D04" w:rsidP="00977D04">
      <w:pPr>
        <w:pStyle w:val="Odstavecseseznamem"/>
        <w:rPr>
          <w:rFonts w:ascii="Garamond" w:hAnsi="Garamond"/>
          <w:sz w:val="26"/>
          <w:szCs w:val="26"/>
        </w:rPr>
      </w:pPr>
    </w:p>
    <w:p w14:paraId="3D275122" w14:textId="77777777" w:rsidR="00977D04" w:rsidRPr="00977D04" w:rsidRDefault="007E6687" w:rsidP="00977D04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977D04">
        <w:rPr>
          <w:rFonts w:ascii="Garamond" w:hAnsi="Garamond"/>
          <w:sz w:val="26"/>
          <w:szCs w:val="26"/>
        </w:rPr>
        <w:t>Tuto Smlouvu či její účinnost lze předčasně ukončit pouze z důvodu v ní výslovně uvedených nebo odstoupením od Smlouvy ze zákonných důvodů uvedených v Občanském zákoníku.</w:t>
      </w:r>
      <w:r w:rsidR="00FC0C0E" w:rsidRPr="00977D04">
        <w:rPr>
          <w:rFonts w:ascii="Garamond" w:hAnsi="Garamond"/>
          <w:sz w:val="26"/>
          <w:szCs w:val="26"/>
        </w:rPr>
        <w:t xml:space="preserve"> </w:t>
      </w:r>
    </w:p>
    <w:p w14:paraId="28605155" w14:textId="77777777" w:rsidR="00977D04" w:rsidRDefault="00977D04" w:rsidP="00977D04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5F5C059D" w14:textId="5865FCDA" w:rsidR="007E6687" w:rsidRPr="00977D04" w:rsidRDefault="00FC0C0E" w:rsidP="00977D04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977D04">
        <w:rPr>
          <w:rFonts w:ascii="Garamond" w:hAnsi="Garamond"/>
          <w:sz w:val="26"/>
          <w:szCs w:val="26"/>
        </w:rPr>
        <w:t>Advokáti se zavazují do 15 dnů ode dne skončení této Smlouvy</w:t>
      </w:r>
      <w:r w:rsidR="00977D04">
        <w:rPr>
          <w:rFonts w:ascii="Garamond" w:hAnsi="Garamond"/>
          <w:sz w:val="26"/>
          <w:szCs w:val="26"/>
        </w:rPr>
        <w:t xml:space="preserve"> nebo její účinnosti</w:t>
      </w:r>
      <w:r w:rsidRPr="00977D04">
        <w:rPr>
          <w:rFonts w:ascii="Garamond" w:hAnsi="Garamond"/>
          <w:sz w:val="26"/>
          <w:szCs w:val="26"/>
        </w:rPr>
        <w:t xml:space="preserve"> předat Mandantovi veškeré písemnosti a jiné věci, které od něho v souvislosti s poskytováním Právních služeb obdrželi nebo které v souvislosti s poskytováním Právních služeb jinak získali, a to včetně originálu </w:t>
      </w:r>
      <w:r w:rsidRPr="00DC23FA">
        <w:rPr>
          <w:rFonts w:ascii="Garamond" w:hAnsi="Garamond"/>
          <w:sz w:val="26"/>
          <w:szCs w:val="26"/>
          <w:highlight w:val="yellow"/>
        </w:rPr>
        <w:t>Směnky</w:t>
      </w:r>
      <w:r w:rsidR="00DC23FA" w:rsidRPr="00DC23FA">
        <w:rPr>
          <w:rFonts w:ascii="Garamond" w:hAnsi="Garamond"/>
          <w:sz w:val="26"/>
          <w:szCs w:val="26"/>
          <w:highlight w:val="yellow"/>
        </w:rPr>
        <w:t>/Dluhopisu</w:t>
      </w:r>
      <w:r w:rsidRPr="00977D04">
        <w:rPr>
          <w:rFonts w:ascii="Garamond" w:hAnsi="Garamond"/>
          <w:sz w:val="26"/>
          <w:szCs w:val="26"/>
        </w:rPr>
        <w:t xml:space="preserve">. O předání všech výše uvedených věcí bude mezi Smluvními stranami sepsán předávací protokol. Advokáti však nemají povinnost předat Mandantovi ty věci, které nemají ve své fyzické dispozici (např. originál </w:t>
      </w:r>
      <w:r w:rsidRPr="00DC23FA">
        <w:rPr>
          <w:rFonts w:ascii="Garamond" w:hAnsi="Garamond"/>
          <w:sz w:val="26"/>
          <w:szCs w:val="26"/>
          <w:highlight w:val="yellow"/>
        </w:rPr>
        <w:t>Směnky</w:t>
      </w:r>
      <w:r w:rsidR="00DC23FA" w:rsidRPr="00DC23FA">
        <w:rPr>
          <w:rFonts w:ascii="Garamond" w:hAnsi="Garamond"/>
          <w:sz w:val="26"/>
          <w:szCs w:val="26"/>
          <w:highlight w:val="yellow"/>
        </w:rPr>
        <w:t>/Dluhopisu</w:t>
      </w:r>
      <w:r w:rsidRPr="00977D04">
        <w:rPr>
          <w:rFonts w:ascii="Garamond" w:hAnsi="Garamond"/>
          <w:sz w:val="26"/>
          <w:szCs w:val="26"/>
        </w:rPr>
        <w:t xml:space="preserve"> v případě, že ten je založen ve spisu některého z řízení)</w:t>
      </w:r>
      <w:r w:rsidR="00977D04">
        <w:rPr>
          <w:rFonts w:ascii="Garamond" w:hAnsi="Garamond"/>
          <w:sz w:val="26"/>
          <w:szCs w:val="26"/>
        </w:rPr>
        <w:t>, v takovém případě Advokáti Mandantovi písemně sdělí, kde se předmětná věc nachází</w:t>
      </w:r>
      <w:r w:rsidRPr="00977D04">
        <w:rPr>
          <w:rFonts w:ascii="Garamond" w:hAnsi="Garamond"/>
          <w:sz w:val="26"/>
          <w:szCs w:val="26"/>
        </w:rPr>
        <w:t xml:space="preserve">. </w:t>
      </w:r>
    </w:p>
    <w:p w14:paraId="47FC0050" w14:textId="77777777" w:rsidR="00352182" w:rsidRPr="007E6687" w:rsidRDefault="00352182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29A4DEFF" w14:textId="65E0EFC8" w:rsidR="00E73E68" w:rsidRPr="007E6687" w:rsidRDefault="00E73E68" w:rsidP="007E6687">
      <w:pPr>
        <w:spacing w:after="0"/>
        <w:jc w:val="center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V</w:t>
      </w:r>
      <w:r w:rsidR="00683FD6">
        <w:rPr>
          <w:rFonts w:ascii="Garamond" w:hAnsi="Garamond"/>
          <w:sz w:val="26"/>
          <w:szCs w:val="26"/>
        </w:rPr>
        <w:t>I</w:t>
      </w:r>
      <w:r w:rsidRPr="007E6687">
        <w:rPr>
          <w:rFonts w:ascii="Garamond" w:hAnsi="Garamond"/>
          <w:sz w:val="26"/>
          <w:szCs w:val="26"/>
        </w:rPr>
        <w:t>.</w:t>
      </w:r>
    </w:p>
    <w:p w14:paraId="350B9FA0" w14:textId="77777777" w:rsidR="00E73E68" w:rsidRPr="007E6687" w:rsidRDefault="00E73E68" w:rsidP="007E6687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7E6687">
        <w:rPr>
          <w:rFonts w:ascii="Garamond" w:hAnsi="Garamond"/>
          <w:b/>
          <w:sz w:val="26"/>
          <w:szCs w:val="26"/>
        </w:rPr>
        <w:t>Závěrečná ustanovení</w:t>
      </w:r>
    </w:p>
    <w:p w14:paraId="19F77F70" w14:textId="77777777" w:rsidR="00E73E68" w:rsidRPr="007E6687" w:rsidRDefault="00E73E68" w:rsidP="007E6687">
      <w:pPr>
        <w:spacing w:after="0"/>
        <w:jc w:val="center"/>
        <w:rPr>
          <w:rFonts w:ascii="Garamond" w:hAnsi="Garamond"/>
          <w:b/>
          <w:sz w:val="26"/>
          <w:szCs w:val="26"/>
        </w:rPr>
      </w:pPr>
    </w:p>
    <w:p w14:paraId="196E0572" w14:textId="77777777" w:rsidR="007E6687" w:rsidRDefault="007E6687" w:rsidP="007E6687">
      <w:pPr>
        <w:pStyle w:val="Default"/>
        <w:numPr>
          <w:ilvl w:val="0"/>
          <w:numId w:val="12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bookmarkStart w:id="2" w:name="_Hlk51790981"/>
      <w:bookmarkStart w:id="3" w:name="_Hlk51789821"/>
      <w:r w:rsidRPr="00533856">
        <w:rPr>
          <w:rFonts w:ascii="Garamond" w:hAnsi="Garamond"/>
          <w:color w:val="auto"/>
          <w:sz w:val="26"/>
          <w:szCs w:val="26"/>
        </w:rPr>
        <w:t>Tato Smlouva je vyhotovena ve dvou stejnopisech s ověřenými podpisy Smluvních stran, přičemž každá ze Smluvních stran obdrží po jednom vyhotovení</w:t>
      </w:r>
      <w:r>
        <w:rPr>
          <w:rFonts w:ascii="Garamond" w:hAnsi="Garamond"/>
          <w:color w:val="auto"/>
          <w:sz w:val="26"/>
          <w:szCs w:val="26"/>
        </w:rPr>
        <w:t>. Smluvní</w:t>
      </w:r>
      <w:r w:rsidRPr="00533856">
        <w:rPr>
          <w:rFonts w:ascii="Garamond" w:hAnsi="Garamond"/>
          <w:color w:val="auto"/>
          <w:sz w:val="26"/>
          <w:szCs w:val="26"/>
        </w:rPr>
        <w:t xml:space="preserve"> strany svým podpisem níže stvrzují převzetí </w:t>
      </w:r>
      <w:r>
        <w:rPr>
          <w:rFonts w:ascii="Garamond" w:hAnsi="Garamond"/>
          <w:color w:val="auto"/>
          <w:sz w:val="26"/>
          <w:szCs w:val="26"/>
        </w:rPr>
        <w:t>jednoho</w:t>
      </w:r>
      <w:r w:rsidRPr="00533856">
        <w:rPr>
          <w:rFonts w:ascii="Garamond" w:hAnsi="Garamond"/>
          <w:color w:val="auto"/>
          <w:sz w:val="26"/>
          <w:szCs w:val="26"/>
        </w:rPr>
        <w:t xml:space="preserve"> vyhotovení</w:t>
      </w:r>
      <w:r>
        <w:rPr>
          <w:rFonts w:ascii="Garamond" w:hAnsi="Garamond"/>
          <w:color w:val="auto"/>
          <w:sz w:val="26"/>
          <w:szCs w:val="26"/>
        </w:rPr>
        <w:t xml:space="preserve"> této Smlouvy</w:t>
      </w:r>
      <w:r w:rsidRPr="00533856">
        <w:rPr>
          <w:rFonts w:ascii="Garamond" w:hAnsi="Garamond"/>
          <w:color w:val="auto"/>
          <w:sz w:val="26"/>
          <w:szCs w:val="26"/>
        </w:rPr>
        <w:t>.</w:t>
      </w:r>
    </w:p>
    <w:bookmarkEnd w:id="2"/>
    <w:p w14:paraId="2CD3B76A" w14:textId="77777777" w:rsidR="007E6687" w:rsidRDefault="007E6687" w:rsidP="007E6687">
      <w:pPr>
        <w:pStyle w:val="Default"/>
        <w:spacing w:line="276" w:lineRule="auto"/>
        <w:ind w:left="360"/>
        <w:jc w:val="both"/>
        <w:rPr>
          <w:rFonts w:ascii="Garamond" w:hAnsi="Garamond"/>
          <w:color w:val="auto"/>
          <w:sz w:val="26"/>
          <w:szCs w:val="26"/>
        </w:rPr>
      </w:pPr>
    </w:p>
    <w:p w14:paraId="51301E8B" w14:textId="77777777" w:rsidR="007E6687" w:rsidRDefault="007E6687" w:rsidP="007E6687">
      <w:pPr>
        <w:pStyle w:val="Default"/>
        <w:numPr>
          <w:ilvl w:val="0"/>
          <w:numId w:val="12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bookmarkStart w:id="4" w:name="_Hlk51791043"/>
      <w:r w:rsidRPr="00595214">
        <w:rPr>
          <w:rFonts w:ascii="Garamond" w:hAnsi="Garamond"/>
          <w:color w:val="auto"/>
          <w:sz w:val="26"/>
          <w:szCs w:val="26"/>
        </w:rPr>
        <w:lastRenderedPageBreak/>
        <w:t xml:space="preserve">Tuto Smlouvu lze měnit pouze na základě dohody Smluvních stran, a to formou písemných, vzestupně číslovaných dodatků, opatřených </w:t>
      </w:r>
      <w:r>
        <w:rPr>
          <w:rFonts w:ascii="Garamond" w:hAnsi="Garamond"/>
          <w:color w:val="auto"/>
          <w:sz w:val="26"/>
          <w:szCs w:val="26"/>
        </w:rPr>
        <w:t xml:space="preserve">ověřenými </w:t>
      </w:r>
      <w:r w:rsidRPr="00595214">
        <w:rPr>
          <w:rFonts w:ascii="Garamond" w:hAnsi="Garamond"/>
          <w:color w:val="auto"/>
          <w:sz w:val="26"/>
          <w:szCs w:val="26"/>
        </w:rPr>
        <w:t>podpisy zástupců Smluvních stran.</w:t>
      </w:r>
    </w:p>
    <w:bookmarkEnd w:id="4"/>
    <w:p w14:paraId="3E10ADD0" w14:textId="77777777" w:rsidR="007E6687" w:rsidRDefault="007E6687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20E8CCF2" w14:textId="77777777" w:rsidR="007E6687" w:rsidRDefault="007E6687" w:rsidP="007E6687">
      <w:pPr>
        <w:pStyle w:val="Default"/>
        <w:numPr>
          <w:ilvl w:val="0"/>
          <w:numId w:val="12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595214">
        <w:rPr>
          <w:rFonts w:ascii="Garamond" w:hAnsi="Garamond"/>
          <w:color w:val="auto"/>
          <w:sz w:val="26"/>
          <w:szCs w:val="26"/>
        </w:rPr>
        <w:t>Je-li nebo stane-li se některé ustanovení této Smlouvy neplatné,</w:t>
      </w:r>
      <w:r>
        <w:rPr>
          <w:rFonts w:ascii="Garamond" w:hAnsi="Garamond"/>
          <w:color w:val="auto"/>
          <w:sz w:val="26"/>
          <w:szCs w:val="26"/>
        </w:rPr>
        <w:t xml:space="preserve"> neúčinné, nevymahatelné, </w:t>
      </w:r>
      <w:r w:rsidRPr="00595214">
        <w:rPr>
          <w:rFonts w:ascii="Garamond" w:hAnsi="Garamond"/>
          <w:color w:val="auto"/>
          <w:sz w:val="26"/>
          <w:szCs w:val="26"/>
        </w:rPr>
        <w:t>nedotýká se to ostatních ustanovení této Smlouvy, která zůstávají nadále platná</w:t>
      </w:r>
      <w:r>
        <w:rPr>
          <w:rFonts w:ascii="Garamond" w:hAnsi="Garamond"/>
          <w:color w:val="auto"/>
          <w:sz w:val="26"/>
          <w:szCs w:val="26"/>
        </w:rPr>
        <w:t xml:space="preserve">, </w:t>
      </w:r>
      <w:r w:rsidRPr="00595214">
        <w:rPr>
          <w:rFonts w:ascii="Garamond" w:hAnsi="Garamond"/>
          <w:color w:val="auto"/>
          <w:sz w:val="26"/>
          <w:szCs w:val="26"/>
        </w:rPr>
        <w:t>účinná</w:t>
      </w:r>
      <w:r>
        <w:rPr>
          <w:rFonts w:ascii="Garamond" w:hAnsi="Garamond"/>
          <w:color w:val="auto"/>
          <w:sz w:val="26"/>
          <w:szCs w:val="26"/>
        </w:rPr>
        <w:t xml:space="preserve"> i vymahatelná</w:t>
      </w:r>
      <w:r w:rsidRPr="00595214">
        <w:rPr>
          <w:rFonts w:ascii="Garamond" w:hAnsi="Garamond"/>
          <w:color w:val="auto"/>
          <w:sz w:val="26"/>
          <w:szCs w:val="26"/>
        </w:rPr>
        <w:t>. Smluvní strany se zavazují dohodou bezodkladně po takovémto případném zjištění nahradit neplatné</w:t>
      </w:r>
      <w:r>
        <w:rPr>
          <w:rFonts w:ascii="Garamond" w:hAnsi="Garamond"/>
          <w:color w:val="auto"/>
          <w:sz w:val="26"/>
          <w:szCs w:val="26"/>
        </w:rPr>
        <w:t>, neúčinné či nevymahatelné</w:t>
      </w:r>
      <w:r w:rsidRPr="00595214">
        <w:rPr>
          <w:rFonts w:ascii="Garamond" w:hAnsi="Garamond"/>
          <w:color w:val="auto"/>
          <w:sz w:val="26"/>
          <w:szCs w:val="26"/>
        </w:rPr>
        <w:t xml:space="preserve"> ustanovení novým ustanovením platným</w:t>
      </w:r>
      <w:r>
        <w:rPr>
          <w:rFonts w:ascii="Garamond" w:hAnsi="Garamond"/>
          <w:color w:val="auto"/>
          <w:sz w:val="26"/>
          <w:szCs w:val="26"/>
        </w:rPr>
        <w:t>, účinným a vymahatelným</w:t>
      </w:r>
      <w:r w:rsidRPr="00595214">
        <w:rPr>
          <w:rFonts w:ascii="Garamond" w:hAnsi="Garamond"/>
          <w:color w:val="auto"/>
          <w:sz w:val="26"/>
          <w:szCs w:val="26"/>
        </w:rPr>
        <w:t>, které svým obsahem a smyslem nejlépe odpovídá původně zamýšlenému účelu neplatného</w:t>
      </w:r>
      <w:r>
        <w:rPr>
          <w:rFonts w:ascii="Garamond" w:hAnsi="Garamond"/>
          <w:color w:val="auto"/>
          <w:sz w:val="26"/>
          <w:szCs w:val="26"/>
        </w:rPr>
        <w:t>, neúčinného či nevymahatelného</w:t>
      </w:r>
      <w:r w:rsidRPr="00595214">
        <w:rPr>
          <w:rFonts w:ascii="Garamond" w:hAnsi="Garamond"/>
          <w:color w:val="auto"/>
          <w:sz w:val="26"/>
          <w:szCs w:val="26"/>
        </w:rPr>
        <w:t xml:space="preserve"> ustanovení a nebude představovat zřejmý prospěch či neprospěch žádné Smluvní strany na úkor či ve prospěch druhé Smluvní strany.</w:t>
      </w:r>
    </w:p>
    <w:p w14:paraId="1E0B253A" w14:textId="77777777" w:rsidR="007E6687" w:rsidRDefault="007E6687" w:rsidP="00683FD6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2C9FD639" w14:textId="09F41F70" w:rsidR="007E6687" w:rsidRDefault="007E6687" w:rsidP="007E6687">
      <w:pPr>
        <w:pStyle w:val="Default"/>
        <w:numPr>
          <w:ilvl w:val="0"/>
          <w:numId w:val="12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696BF5">
        <w:rPr>
          <w:rFonts w:ascii="Garamond" w:hAnsi="Garamond"/>
          <w:color w:val="auto"/>
          <w:sz w:val="26"/>
          <w:szCs w:val="26"/>
        </w:rPr>
        <w:t xml:space="preserve">Právní vztahy mezi </w:t>
      </w:r>
      <w:r>
        <w:rPr>
          <w:rFonts w:ascii="Garamond" w:hAnsi="Garamond"/>
          <w:color w:val="auto"/>
          <w:sz w:val="26"/>
          <w:szCs w:val="26"/>
        </w:rPr>
        <w:t>Mandantem a Advokáty,</w:t>
      </w:r>
      <w:r w:rsidRPr="00696BF5">
        <w:rPr>
          <w:rFonts w:ascii="Garamond" w:hAnsi="Garamond"/>
          <w:color w:val="auto"/>
          <w:sz w:val="26"/>
          <w:szCs w:val="26"/>
        </w:rPr>
        <w:t xml:space="preserve"> které vyplývají z této Smlouvy a nejsou v ní upraveny, se řídí příslušnými obecně platnými právními předpisy, zejména pak </w:t>
      </w:r>
      <w:r>
        <w:rPr>
          <w:rFonts w:ascii="Garamond" w:hAnsi="Garamond"/>
          <w:color w:val="auto"/>
          <w:sz w:val="26"/>
          <w:szCs w:val="26"/>
        </w:rPr>
        <w:t>Občanským zákoníkem a zákonem č. 85/1996, o advokacii, v aktuálním znění.</w:t>
      </w:r>
    </w:p>
    <w:p w14:paraId="0AEA0C5F" w14:textId="77777777" w:rsidR="007E6687" w:rsidRDefault="007E6687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4FE94CD0" w14:textId="77777777" w:rsidR="007E6687" w:rsidRDefault="007E6687" w:rsidP="007E6687">
      <w:pPr>
        <w:pStyle w:val="Default"/>
        <w:numPr>
          <w:ilvl w:val="0"/>
          <w:numId w:val="12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</w:rPr>
        <w:t>Smluvní strany na sebe v souladu s ustanovením § 1765 odst. 2 Občanského zákoníku přebírají nebezpečí změny okolností.</w:t>
      </w:r>
    </w:p>
    <w:p w14:paraId="44349929" w14:textId="77777777" w:rsidR="007E6687" w:rsidRDefault="007E6687" w:rsidP="007E6687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30E48C51" w14:textId="77777777" w:rsidR="007E6687" w:rsidRPr="00696BF5" w:rsidRDefault="007E6687" w:rsidP="007E6687">
      <w:pPr>
        <w:pStyle w:val="Default"/>
        <w:numPr>
          <w:ilvl w:val="0"/>
          <w:numId w:val="12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696BF5">
        <w:rPr>
          <w:rFonts w:ascii="Garamond" w:hAnsi="Garamond"/>
          <w:sz w:val="26"/>
          <w:szCs w:val="26"/>
        </w:rPr>
        <w:t>Smluvní strany prohlašují, že si tuto Smlouvu před jejím podpisem přečetly, že byla uzavřena po vzájemném projednání podle jejich pravé a svobodné vůle, určitě, vážně a srozumitelně, nikoliv v tísni a za nápadně nevýhodných podmínek. Na důkaz souhlasu s jejím obsahem připojují své podpisy.</w:t>
      </w:r>
    </w:p>
    <w:bookmarkEnd w:id="3"/>
    <w:p w14:paraId="26297F38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21024C6E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703ADD91" w14:textId="0E492721" w:rsidR="00E73E68" w:rsidRPr="007E6687" w:rsidRDefault="00E73E68" w:rsidP="007E6687">
      <w:pPr>
        <w:tabs>
          <w:tab w:val="left" w:pos="4962"/>
        </w:tabs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>V ………………dne ……………..</w:t>
      </w:r>
      <w:r w:rsidRPr="007E6687">
        <w:rPr>
          <w:rFonts w:ascii="Garamond" w:hAnsi="Garamond"/>
          <w:sz w:val="26"/>
          <w:szCs w:val="26"/>
        </w:rPr>
        <w:tab/>
      </w:r>
      <w:r w:rsidR="007E6687" w:rsidRPr="007E6687">
        <w:rPr>
          <w:rFonts w:ascii="Garamond" w:hAnsi="Garamond"/>
          <w:sz w:val="26"/>
          <w:szCs w:val="26"/>
        </w:rPr>
        <w:t>V ………………dne ……………..</w:t>
      </w:r>
    </w:p>
    <w:p w14:paraId="1D52FA11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1350115B" w14:textId="77777777" w:rsidR="00E73E68" w:rsidRPr="007E6687" w:rsidRDefault="00E73E68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01B685DC" w14:textId="77777777" w:rsidR="00E73E68" w:rsidRPr="007E6687" w:rsidRDefault="00E73E68" w:rsidP="007E6687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………………………………….                       </w:t>
      </w:r>
      <w:r w:rsidRPr="007E6687">
        <w:rPr>
          <w:rFonts w:ascii="Garamond" w:hAnsi="Garamond"/>
          <w:sz w:val="26"/>
          <w:szCs w:val="26"/>
        </w:rPr>
        <w:tab/>
        <w:t>……………………………………...</w:t>
      </w:r>
    </w:p>
    <w:p w14:paraId="523A0C6E" w14:textId="106FF61E" w:rsidR="00E73E68" w:rsidRPr="007E6687" w:rsidRDefault="00683FD6" w:rsidP="007E6687">
      <w:pPr>
        <w:spacing w:after="0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 w:rsidRPr="00683FD6">
        <w:rPr>
          <w:rFonts w:ascii="Garamond" w:hAnsi="Garamond"/>
          <w:sz w:val="26"/>
          <w:szCs w:val="26"/>
          <w:highlight w:val="yellow"/>
        </w:rPr>
        <w:t>………………………………….</w:t>
      </w:r>
      <w:r w:rsidRPr="007E6687">
        <w:rPr>
          <w:rFonts w:ascii="Garamond" w:hAnsi="Garamond"/>
          <w:sz w:val="26"/>
          <w:szCs w:val="26"/>
        </w:rPr>
        <w:t xml:space="preserve">  </w:t>
      </w:r>
      <w:r w:rsidR="00E73E68" w:rsidRPr="007E6687">
        <w:rPr>
          <w:rFonts w:ascii="Garamond" w:hAnsi="Garamond"/>
          <w:b/>
          <w:color w:val="000000" w:themeColor="text1"/>
          <w:sz w:val="26"/>
          <w:szCs w:val="26"/>
        </w:rPr>
        <w:tab/>
      </w:r>
      <w:r w:rsidR="00E35411" w:rsidRPr="007E6687">
        <w:rPr>
          <w:rFonts w:ascii="Garamond" w:hAnsi="Garamond"/>
          <w:b/>
          <w:color w:val="000000" w:themeColor="text1"/>
          <w:sz w:val="26"/>
          <w:szCs w:val="26"/>
        </w:rPr>
        <w:tab/>
      </w:r>
      <w:r w:rsidR="00E73E68" w:rsidRPr="007E6687">
        <w:rPr>
          <w:rFonts w:ascii="Garamond" w:hAnsi="Garamond"/>
          <w:b/>
          <w:sz w:val="26"/>
          <w:szCs w:val="26"/>
        </w:rPr>
        <w:t>AK INDRA, ŠEBESTA, KINCL</w:t>
      </w:r>
    </w:p>
    <w:p w14:paraId="17FBCB0E" w14:textId="1ABB1BDB" w:rsidR="00E35411" w:rsidRPr="007E6687" w:rsidRDefault="00E35411" w:rsidP="007E6687">
      <w:pPr>
        <w:tabs>
          <w:tab w:val="left" w:pos="4962"/>
        </w:tabs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ab/>
      </w:r>
      <w:r w:rsidRPr="007E6687">
        <w:rPr>
          <w:rFonts w:ascii="Garamond" w:hAnsi="Garamond"/>
          <w:bCs/>
          <w:sz w:val="26"/>
          <w:szCs w:val="26"/>
        </w:rPr>
        <w:t xml:space="preserve">Mgr. </w:t>
      </w:r>
      <w:r w:rsidR="009C48FD">
        <w:rPr>
          <w:rFonts w:ascii="Garamond" w:hAnsi="Garamond"/>
          <w:bCs/>
          <w:sz w:val="26"/>
          <w:szCs w:val="26"/>
        </w:rPr>
        <w:t>Tomáš Šulek</w:t>
      </w:r>
      <w:r w:rsidRPr="007E6687">
        <w:rPr>
          <w:rFonts w:ascii="Garamond" w:hAnsi="Garamond"/>
          <w:bCs/>
          <w:sz w:val="26"/>
          <w:szCs w:val="26"/>
        </w:rPr>
        <w:t>, advokát</w:t>
      </w:r>
    </w:p>
    <w:p w14:paraId="53CE5D48" w14:textId="37F0803F" w:rsidR="00E73E68" w:rsidRPr="007E6687" w:rsidRDefault="00E73E68" w:rsidP="007E6687">
      <w:pPr>
        <w:tabs>
          <w:tab w:val="left" w:pos="4962"/>
        </w:tabs>
        <w:spacing w:after="0"/>
        <w:jc w:val="both"/>
        <w:rPr>
          <w:rFonts w:ascii="Garamond" w:hAnsi="Garamond"/>
          <w:sz w:val="26"/>
          <w:szCs w:val="26"/>
        </w:rPr>
      </w:pPr>
      <w:r w:rsidRPr="007E6687">
        <w:rPr>
          <w:rStyle w:val="apple-style-span"/>
          <w:rFonts w:ascii="Garamond" w:hAnsi="Garamond"/>
          <w:color w:val="000000"/>
          <w:sz w:val="26"/>
          <w:szCs w:val="26"/>
        </w:rPr>
        <w:tab/>
      </w:r>
    </w:p>
    <w:p w14:paraId="185225BF" w14:textId="77777777" w:rsidR="00E35411" w:rsidRPr="007E6687" w:rsidRDefault="00E35411" w:rsidP="007E6687">
      <w:pPr>
        <w:spacing w:after="0"/>
        <w:jc w:val="both"/>
        <w:rPr>
          <w:rFonts w:ascii="Garamond" w:hAnsi="Garamond"/>
          <w:sz w:val="26"/>
          <w:szCs w:val="26"/>
        </w:rPr>
      </w:pPr>
    </w:p>
    <w:p w14:paraId="6A7D3E53" w14:textId="63F0F9F8" w:rsidR="00E35411" w:rsidRPr="007E6687" w:rsidRDefault="00E35411" w:rsidP="00B4279F">
      <w:pPr>
        <w:spacing w:after="0"/>
        <w:ind w:left="2832" w:firstLine="708"/>
        <w:jc w:val="both"/>
        <w:rPr>
          <w:rFonts w:ascii="Garamond" w:hAnsi="Garamond"/>
          <w:sz w:val="26"/>
          <w:szCs w:val="26"/>
        </w:rPr>
      </w:pPr>
      <w:r w:rsidRPr="007E6687">
        <w:rPr>
          <w:rFonts w:ascii="Garamond" w:hAnsi="Garamond"/>
          <w:sz w:val="26"/>
          <w:szCs w:val="26"/>
        </w:rPr>
        <w:t xml:space="preserve">                </w:t>
      </w:r>
      <w:r w:rsidRPr="007E6687">
        <w:rPr>
          <w:rFonts w:ascii="Garamond" w:hAnsi="Garamond"/>
          <w:sz w:val="26"/>
          <w:szCs w:val="26"/>
        </w:rPr>
        <w:tab/>
      </w:r>
    </w:p>
    <w:p w14:paraId="61CCDEAD" w14:textId="77777777" w:rsidR="00DA0191" w:rsidRPr="007E6687" w:rsidRDefault="00DA0191" w:rsidP="007E6687">
      <w:pPr>
        <w:spacing w:after="0"/>
        <w:rPr>
          <w:rFonts w:ascii="Garamond" w:hAnsi="Garamond"/>
          <w:sz w:val="26"/>
          <w:szCs w:val="26"/>
        </w:rPr>
      </w:pPr>
    </w:p>
    <w:sectPr w:rsidR="00DA0191" w:rsidRPr="007E6687" w:rsidSect="00A559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7" w:bottom="0" w:left="1417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748E" w14:textId="77777777" w:rsidR="00447BB6" w:rsidRDefault="00447BB6" w:rsidP="00261C3A">
      <w:pPr>
        <w:spacing w:after="0" w:line="240" w:lineRule="auto"/>
      </w:pPr>
      <w:r>
        <w:separator/>
      </w:r>
    </w:p>
  </w:endnote>
  <w:endnote w:type="continuationSeparator" w:id="0">
    <w:p w14:paraId="502AD6CA" w14:textId="77777777" w:rsidR="00447BB6" w:rsidRDefault="00447BB6" w:rsidP="002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DF0F" w14:textId="77777777" w:rsidR="00261C3A" w:rsidRDefault="00261C3A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BD054BC" wp14:editId="724F724E">
          <wp:simplePos x="0" y="0"/>
          <wp:positionH relativeFrom="page">
            <wp:posOffset>1078</wp:posOffset>
          </wp:positionH>
          <wp:positionV relativeFrom="page">
            <wp:posOffset>9537700</wp:posOffset>
          </wp:positionV>
          <wp:extent cx="7532119" cy="1743075"/>
          <wp:effectExtent l="0" t="0" r="0" b="0"/>
          <wp:wrapSquare wrapText="bothSides"/>
          <wp:docPr id="82" name="Obráze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 ISK_navrh hlav_papiru__07 tisk 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119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4A9F" w14:textId="77777777" w:rsidR="00E50D4C" w:rsidRDefault="00E50D4C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BB3A5E2" wp14:editId="55EF82CD">
          <wp:simplePos x="0" y="0"/>
          <wp:positionH relativeFrom="page">
            <wp:posOffset>0</wp:posOffset>
          </wp:positionH>
          <wp:positionV relativeFrom="page">
            <wp:posOffset>9537700</wp:posOffset>
          </wp:positionV>
          <wp:extent cx="7534271" cy="1743572"/>
          <wp:effectExtent l="0" t="0" r="0" b="0"/>
          <wp:wrapNone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 ISK_navrh hlav_papiru__07 tisk 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1" cy="174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B554" w14:textId="77777777" w:rsidR="00447BB6" w:rsidRDefault="00447BB6" w:rsidP="00261C3A">
      <w:pPr>
        <w:spacing w:after="0" w:line="240" w:lineRule="auto"/>
      </w:pPr>
      <w:r>
        <w:separator/>
      </w:r>
    </w:p>
  </w:footnote>
  <w:footnote w:type="continuationSeparator" w:id="0">
    <w:p w14:paraId="609A26D4" w14:textId="77777777" w:rsidR="00447BB6" w:rsidRDefault="00447BB6" w:rsidP="0026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40E0" w14:textId="77777777" w:rsidR="00ED0035" w:rsidRDefault="00ED00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093534B4" wp14:editId="59339B0E">
          <wp:simplePos x="0" y="0"/>
          <wp:positionH relativeFrom="page">
            <wp:posOffset>68580</wp:posOffset>
          </wp:positionH>
          <wp:positionV relativeFrom="margin">
            <wp:posOffset>-1033145</wp:posOffset>
          </wp:positionV>
          <wp:extent cx="7358400" cy="1220400"/>
          <wp:effectExtent l="0" t="0" r="0" b="0"/>
          <wp:wrapNone/>
          <wp:docPr id="8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ISK_navrh hlav_papiru__07 tisk 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4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D26A" w14:textId="77777777" w:rsidR="00E50D4C" w:rsidRDefault="00E50D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CE11B83" wp14:editId="12E95020">
          <wp:simplePos x="0" y="0"/>
          <wp:positionH relativeFrom="page">
            <wp:posOffset>66675</wp:posOffset>
          </wp:positionH>
          <wp:positionV relativeFrom="margin">
            <wp:posOffset>-1032510</wp:posOffset>
          </wp:positionV>
          <wp:extent cx="7358380" cy="1219200"/>
          <wp:effectExtent l="0" t="0" r="0" b="0"/>
          <wp:wrapNone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ISK_navrh hlav_papiru__07 tisk 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38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DE9"/>
    <w:multiLevelType w:val="hybridMultilevel"/>
    <w:tmpl w:val="2B6AEE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6B5"/>
    <w:multiLevelType w:val="hybridMultilevel"/>
    <w:tmpl w:val="314220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B52E8"/>
    <w:multiLevelType w:val="hybridMultilevel"/>
    <w:tmpl w:val="89E6E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5D5"/>
    <w:multiLevelType w:val="hybridMultilevel"/>
    <w:tmpl w:val="ED789A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70AEC"/>
    <w:multiLevelType w:val="hybridMultilevel"/>
    <w:tmpl w:val="10B68726"/>
    <w:lvl w:ilvl="0" w:tplc="4A84F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6A16"/>
    <w:multiLevelType w:val="hybridMultilevel"/>
    <w:tmpl w:val="30FECCB6"/>
    <w:lvl w:ilvl="0" w:tplc="DEAAB0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550"/>
    <w:multiLevelType w:val="hybridMultilevel"/>
    <w:tmpl w:val="CCDCA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321A0"/>
    <w:multiLevelType w:val="hybridMultilevel"/>
    <w:tmpl w:val="1CCC3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1472"/>
    <w:multiLevelType w:val="hybridMultilevel"/>
    <w:tmpl w:val="354E4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0789B"/>
    <w:multiLevelType w:val="hybridMultilevel"/>
    <w:tmpl w:val="1B2A94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33221"/>
    <w:multiLevelType w:val="hybridMultilevel"/>
    <w:tmpl w:val="292E516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967F73"/>
    <w:multiLevelType w:val="hybridMultilevel"/>
    <w:tmpl w:val="33686C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D42D2"/>
    <w:multiLevelType w:val="hybridMultilevel"/>
    <w:tmpl w:val="98826150"/>
    <w:lvl w:ilvl="0" w:tplc="811C91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EE"/>
    <w:rsid w:val="000146B0"/>
    <w:rsid w:val="00022F8B"/>
    <w:rsid w:val="000602AA"/>
    <w:rsid w:val="000933D2"/>
    <w:rsid w:val="000B5DC7"/>
    <w:rsid w:val="00102525"/>
    <w:rsid w:val="001162D2"/>
    <w:rsid w:val="00155026"/>
    <w:rsid w:val="001A4DC2"/>
    <w:rsid w:val="001F3809"/>
    <w:rsid w:val="00207BC4"/>
    <w:rsid w:val="00212568"/>
    <w:rsid w:val="00223F58"/>
    <w:rsid w:val="00237C3B"/>
    <w:rsid w:val="00261C3A"/>
    <w:rsid w:val="00266919"/>
    <w:rsid w:val="00271CD6"/>
    <w:rsid w:val="002956D1"/>
    <w:rsid w:val="002B2DBE"/>
    <w:rsid w:val="002B30EB"/>
    <w:rsid w:val="002C6666"/>
    <w:rsid w:val="002E3C1F"/>
    <w:rsid w:val="00323656"/>
    <w:rsid w:val="00327783"/>
    <w:rsid w:val="00334A3D"/>
    <w:rsid w:val="003506C1"/>
    <w:rsid w:val="00352182"/>
    <w:rsid w:val="0035348A"/>
    <w:rsid w:val="00376055"/>
    <w:rsid w:val="00394C3F"/>
    <w:rsid w:val="00395B56"/>
    <w:rsid w:val="003C422C"/>
    <w:rsid w:val="00407605"/>
    <w:rsid w:val="00425EF0"/>
    <w:rsid w:val="00434472"/>
    <w:rsid w:val="00447BB6"/>
    <w:rsid w:val="00461BFE"/>
    <w:rsid w:val="00465A53"/>
    <w:rsid w:val="004A4514"/>
    <w:rsid w:val="004B21DA"/>
    <w:rsid w:val="004E0729"/>
    <w:rsid w:val="004F0F14"/>
    <w:rsid w:val="0052383B"/>
    <w:rsid w:val="005517EE"/>
    <w:rsid w:val="00566068"/>
    <w:rsid w:val="00587914"/>
    <w:rsid w:val="0059219E"/>
    <w:rsid w:val="005C04FF"/>
    <w:rsid w:val="005D136E"/>
    <w:rsid w:val="00624836"/>
    <w:rsid w:val="00665193"/>
    <w:rsid w:val="00680FB2"/>
    <w:rsid w:val="00683FD6"/>
    <w:rsid w:val="006C35A9"/>
    <w:rsid w:val="006C70B8"/>
    <w:rsid w:val="00755D84"/>
    <w:rsid w:val="00764684"/>
    <w:rsid w:val="00777235"/>
    <w:rsid w:val="00792AC1"/>
    <w:rsid w:val="007943F6"/>
    <w:rsid w:val="007C555B"/>
    <w:rsid w:val="007E6687"/>
    <w:rsid w:val="00836B05"/>
    <w:rsid w:val="00863B36"/>
    <w:rsid w:val="00865A8C"/>
    <w:rsid w:val="008669E3"/>
    <w:rsid w:val="008671A9"/>
    <w:rsid w:val="00896E9F"/>
    <w:rsid w:val="008B2ABA"/>
    <w:rsid w:val="008B3B2E"/>
    <w:rsid w:val="008D5308"/>
    <w:rsid w:val="008D698E"/>
    <w:rsid w:val="008E7381"/>
    <w:rsid w:val="00916DEA"/>
    <w:rsid w:val="00924F48"/>
    <w:rsid w:val="00963CF1"/>
    <w:rsid w:val="0097497B"/>
    <w:rsid w:val="00974F13"/>
    <w:rsid w:val="00977D04"/>
    <w:rsid w:val="00984F23"/>
    <w:rsid w:val="00984FAA"/>
    <w:rsid w:val="009A0419"/>
    <w:rsid w:val="009B0A98"/>
    <w:rsid w:val="009C48FD"/>
    <w:rsid w:val="009C4FD2"/>
    <w:rsid w:val="009D3C5B"/>
    <w:rsid w:val="009E121F"/>
    <w:rsid w:val="009E330A"/>
    <w:rsid w:val="009F2B4D"/>
    <w:rsid w:val="00A1487B"/>
    <w:rsid w:val="00A17BBF"/>
    <w:rsid w:val="00A2647F"/>
    <w:rsid w:val="00A410C5"/>
    <w:rsid w:val="00A43A55"/>
    <w:rsid w:val="00A559E1"/>
    <w:rsid w:val="00A7595A"/>
    <w:rsid w:val="00AC22D1"/>
    <w:rsid w:val="00AC647B"/>
    <w:rsid w:val="00B26060"/>
    <w:rsid w:val="00B40CF1"/>
    <w:rsid w:val="00B4279F"/>
    <w:rsid w:val="00B52E1E"/>
    <w:rsid w:val="00B70CD1"/>
    <w:rsid w:val="00BF5461"/>
    <w:rsid w:val="00C24D74"/>
    <w:rsid w:val="00C251E3"/>
    <w:rsid w:val="00C83B40"/>
    <w:rsid w:val="00CB5D18"/>
    <w:rsid w:val="00CB6DFF"/>
    <w:rsid w:val="00D05995"/>
    <w:rsid w:val="00D22DB1"/>
    <w:rsid w:val="00D30864"/>
    <w:rsid w:val="00D40F39"/>
    <w:rsid w:val="00D75BB4"/>
    <w:rsid w:val="00D76B84"/>
    <w:rsid w:val="00DA0191"/>
    <w:rsid w:val="00DA6AC8"/>
    <w:rsid w:val="00DC23FA"/>
    <w:rsid w:val="00E07DC1"/>
    <w:rsid w:val="00E1476B"/>
    <w:rsid w:val="00E35411"/>
    <w:rsid w:val="00E45E31"/>
    <w:rsid w:val="00E475AA"/>
    <w:rsid w:val="00E50D4C"/>
    <w:rsid w:val="00E63C65"/>
    <w:rsid w:val="00E73E68"/>
    <w:rsid w:val="00E8277C"/>
    <w:rsid w:val="00EC01C6"/>
    <w:rsid w:val="00ED0035"/>
    <w:rsid w:val="00EF2D95"/>
    <w:rsid w:val="00F227A5"/>
    <w:rsid w:val="00F66109"/>
    <w:rsid w:val="00F85B26"/>
    <w:rsid w:val="00F91D2F"/>
    <w:rsid w:val="00FA310E"/>
    <w:rsid w:val="00FC0C0E"/>
    <w:rsid w:val="00FE556B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8894C0"/>
  <w15:chartTrackingRefBased/>
  <w15:docId w15:val="{386B2E19-DD4E-4C0B-A0FC-B90FDA2D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C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C3A"/>
  </w:style>
  <w:style w:type="paragraph" w:styleId="Zpat">
    <w:name w:val="footer"/>
    <w:basedOn w:val="Normln"/>
    <w:link w:val="ZpatChar"/>
    <w:uiPriority w:val="99"/>
    <w:unhideWhenUsed/>
    <w:rsid w:val="0026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C3A"/>
  </w:style>
  <w:style w:type="paragraph" w:customStyle="1" w:styleId="Standard">
    <w:name w:val="Standard"/>
    <w:rsid w:val="00271CD6"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 w:cs="Cambria"/>
      <w:kern w:val="1"/>
      <w:sz w:val="24"/>
      <w:lang w:eastAsia="zh-CN"/>
    </w:rPr>
  </w:style>
  <w:style w:type="paragraph" w:styleId="Zkladntext">
    <w:name w:val="Body Text"/>
    <w:basedOn w:val="Normln"/>
    <w:link w:val="ZkladntextChar"/>
    <w:rsid w:val="00271CD6"/>
    <w:pPr>
      <w:spacing w:after="0" w:line="240" w:lineRule="auto"/>
      <w:jc w:val="both"/>
    </w:pPr>
    <w:rPr>
      <w:rFonts w:ascii="Garamond" w:hAnsi="Garamond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1CD6"/>
    <w:rPr>
      <w:rFonts w:ascii="Garamond" w:eastAsia="Times New Roman" w:hAnsi="Garamond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1CD6"/>
    <w:pPr>
      <w:ind w:left="720"/>
      <w:contextualSpacing/>
    </w:pPr>
  </w:style>
  <w:style w:type="paragraph" w:customStyle="1" w:styleId="stylAK">
    <w:name w:val="styl AK"/>
    <w:basedOn w:val="Normln"/>
    <w:rsid w:val="00F91D2F"/>
    <w:pPr>
      <w:tabs>
        <w:tab w:val="left" w:pos="907"/>
        <w:tab w:val="left" w:pos="1440"/>
        <w:tab w:val="left" w:pos="5216"/>
        <w:tab w:val="left" w:pos="5761"/>
      </w:tabs>
      <w:spacing w:after="0" w:line="240" w:lineRule="auto"/>
      <w:jc w:val="both"/>
    </w:pPr>
    <w:rPr>
      <w:rFonts w:ascii="Garamond" w:hAnsi="Garamond"/>
      <w:sz w:val="26"/>
      <w:szCs w:val="24"/>
      <w:lang w:eastAsia="cs-CZ"/>
    </w:rPr>
  </w:style>
  <w:style w:type="character" w:customStyle="1" w:styleId="platne">
    <w:name w:val="platne"/>
    <w:basedOn w:val="Standardnpsmoodstavce"/>
    <w:uiPriority w:val="99"/>
    <w:rsid w:val="00F91D2F"/>
    <w:rPr>
      <w:rFonts w:cs="Times New Roman"/>
    </w:rPr>
  </w:style>
  <w:style w:type="character" w:customStyle="1" w:styleId="preformatted">
    <w:name w:val="preformatted"/>
    <w:basedOn w:val="Standardnpsmoodstavce"/>
    <w:rsid w:val="007C555B"/>
  </w:style>
  <w:style w:type="character" w:customStyle="1" w:styleId="apple-converted-space">
    <w:name w:val="apple-converted-space"/>
    <w:basedOn w:val="Standardnpsmoodstavce"/>
    <w:rsid w:val="00207BC4"/>
  </w:style>
  <w:style w:type="character" w:styleId="Siln">
    <w:name w:val="Strong"/>
    <w:basedOn w:val="Standardnpsmoodstavce"/>
    <w:uiPriority w:val="22"/>
    <w:qFormat/>
    <w:rsid w:val="004344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914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Standardnpsmoodstavce"/>
    <w:rsid w:val="00E73E68"/>
  </w:style>
  <w:style w:type="paragraph" w:customStyle="1" w:styleId="Default">
    <w:name w:val="Default"/>
    <w:rsid w:val="00102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C66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44AA1BBE7914EAE8BC9433786B87F" ma:contentTypeVersion="12" ma:contentTypeDescription="Vytvoří nový dokument" ma:contentTypeScope="" ma:versionID="89fe78d8d4ed075ac8b4183e942dc6a8">
  <xsd:schema xmlns:xsd="http://www.w3.org/2001/XMLSchema" xmlns:xs="http://www.w3.org/2001/XMLSchema" xmlns:p="http://schemas.microsoft.com/office/2006/metadata/properties" xmlns:ns2="762e3b75-8af1-4505-9475-bcdc7d92308e" xmlns:ns3="f90ba719-5f0c-4663-9c8e-6b61308ee4b3" targetNamespace="http://schemas.microsoft.com/office/2006/metadata/properties" ma:root="true" ma:fieldsID="22d73fffbe2b7fcb54df70be1b04d704" ns2:_="" ns3:_="">
    <xsd:import namespace="762e3b75-8af1-4505-9475-bcdc7d92308e"/>
    <xsd:import namespace="f90ba719-5f0c-4663-9c8e-6b61308ee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e3b75-8af1-4505-9475-bcdc7d92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a719-5f0c-4663-9c8e-6b61308ee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5530-C08E-43EA-93C6-E63953D48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D2886-EEB1-4B6B-9EBF-A7B286DA5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e3b75-8af1-4505-9475-bcdc7d92308e"/>
    <ds:schemaRef ds:uri="f90ba719-5f0c-4663-9c8e-6b61308e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0B74B-92BD-46D9-AD56-F5090ABFE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82653-3516-4ABA-929D-0349A483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2098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Insolvence</dc:creator>
  <cp:keywords/>
  <dc:description/>
  <cp:lastModifiedBy>Markéta Kotková</cp:lastModifiedBy>
  <cp:revision>3</cp:revision>
  <dcterms:created xsi:type="dcterms:W3CDTF">2021-02-09T08:48:00Z</dcterms:created>
  <dcterms:modified xsi:type="dcterms:W3CDTF">2021-02-09T09:28:00Z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0x01010086044AA1BBE7914EAE8BC9433786B87F</vt:lpwstr>
  </property>
</Properties>
</file>